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65B" w:rsidRPr="0035394E" w:rsidRDefault="007D3D26" w:rsidP="0035394E">
      <w:pPr>
        <w:spacing w:after="0"/>
        <w:jc w:val="center"/>
        <w:rPr>
          <w:b/>
          <w:sz w:val="32"/>
          <w:szCs w:val="32"/>
        </w:rPr>
      </w:pPr>
      <w:r w:rsidRPr="0035394E">
        <w:rPr>
          <w:b/>
          <w:sz w:val="32"/>
          <w:szCs w:val="32"/>
        </w:rPr>
        <w:t>Lac acide et chaulage</w:t>
      </w:r>
    </w:p>
    <w:p w:rsidR="002338A5" w:rsidRDefault="002338A5" w:rsidP="00D46E53">
      <w:pPr>
        <w:spacing w:after="0"/>
        <w:rPr>
          <w:b/>
        </w:rPr>
      </w:pPr>
    </w:p>
    <w:p w:rsidR="002338A5" w:rsidRDefault="00733D81" w:rsidP="00D46E53">
      <w:pPr>
        <w:spacing w:after="0"/>
        <w:rPr>
          <w:b/>
        </w:rPr>
      </w:pPr>
      <w:r>
        <w:rPr>
          <w:b/>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8181</wp:posOffset>
                </wp:positionV>
                <wp:extent cx="6432550" cy="1190625"/>
                <wp:effectExtent l="0" t="0" r="25400" b="28575"/>
                <wp:wrapNone/>
                <wp:docPr id="1" name="Rectangle : coins arrondis 1"/>
                <wp:cNvGraphicFramePr/>
                <a:graphic xmlns:a="http://schemas.openxmlformats.org/drawingml/2006/main">
                  <a:graphicData uri="http://schemas.microsoft.com/office/word/2010/wordprocessingShape">
                    <wps:wsp>
                      <wps:cNvSpPr/>
                      <wps:spPr>
                        <a:xfrm>
                          <a:off x="542260" y="1275907"/>
                          <a:ext cx="6432550" cy="1190625"/>
                        </a:xfrm>
                        <a:prstGeom prst="roundRect">
                          <a:avLst>
                            <a:gd name="adj" fmla="val 23811"/>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40724" w:rsidRPr="00F95733" w:rsidRDefault="00340724" w:rsidP="00733D81">
                            <w:pPr>
                              <w:spacing w:after="0"/>
                              <w:rPr>
                                <w:b/>
                                <w:noProof/>
                              </w:rPr>
                            </w:pPr>
                            <w:r w:rsidRPr="00F95733">
                              <w:rPr>
                                <w:b/>
                                <w:noProof/>
                              </w:rPr>
                              <w:t xml:space="preserve">Un étudiant québéquois à l’Université Queen’s en Ontario et originaire de la région du lac des hauteurs souhaite faire un mémoire sur l’état des « lacs acides » dans sa région natale. Il veut d’abord vérifier si la technique citée dans un article article d’un journal local permet effectivement de rendre à un lac un pH compatible avec la vie aquatique, puis contrôler les émissions de dioxyde de soufre de la centrale à mazout de Lennox proche de son université, susceptibles d’avoir un impact sur le pH du lac. </w:t>
                            </w:r>
                          </w:p>
                          <w:p w:rsidR="00340724" w:rsidRDefault="00340724" w:rsidP="00733D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 coins arrondis 1" o:spid="_x0000_s1026" style="position:absolute;margin-left:0;margin-top:.65pt;width:506.5pt;height:93.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56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" fillcolor="white [3201]" strokecolor="black [3213]" strokeweight="1pt">
                <v:stroke joinstyle="miter"/>
                <v:textbox>
                  <w:txbxContent>
                    <w:p w:rsidR="00340724" w:rsidRPr="00F95733" w:rsidRDefault="00340724" w:rsidP="00733D81">
                      <w:pPr>
                        <w:spacing w:after="0"/>
                        <w:rPr>
                          <w:b/>
                          <w:noProof/>
                        </w:rPr>
                      </w:pPr>
                      <w:r w:rsidRPr="00F95733">
                        <w:rPr>
                          <w:b/>
                          <w:noProof/>
                        </w:rPr>
                        <w:t xml:space="preserve">Un étudiant québéquois à l’Université Queen’s en Ontario et originaire de la région du lac des hauteurs souhaite faire un mémoire sur l’état des « lacs acides » dans sa région natale. Il veut d’abord vérifier si la technique citée dans un article article d’un journal local permet effectivement de rendre à un lac un pH compatible avec la vie aquatique, puis contrôler les émissions de dioxyde de soufre de la centrale à mazout de Lennox proche de son université, susceptibles d’avoir un impact sur le pH du lac. </w:t>
                      </w:r>
                    </w:p>
                    <w:p w:rsidR="00340724" w:rsidRDefault="00340724" w:rsidP="00733D81">
                      <w:pPr>
                        <w:jc w:val="center"/>
                      </w:pPr>
                    </w:p>
                  </w:txbxContent>
                </v:textbox>
                <w10:wrap anchorx="margin"/>
              </v:roundrect>
            </w:pict>
          </mc:Fallback>
        </mc:AlternateContent>
      </w:r>
    </w:p>
    <w:p w:rsidR="003D6313" w:rsidRDefault="003D6313" w:rsidP="00D46E53">
      <w:pPr>
        <w:spacing w:after="0"/>
        <w:rPr>
          <w:b/>
        </w:rPr>
      </w:pPr>
    </w:p>
    <w:p w:rsidR="00733D81" w:rsidRDefault="00733D81" w:rsidP="00131579">
      <w:pPr>
        <w:spacing w:after="0"/>
        <w:jc w:val="both"/>
        <w:rPr>
          <w:b/>
        </w:rPr>
      </w:pPr>
    </w:p>
    <w:p w:rsidR="00733D81" w:rsidRDefault="00733D81" w:rsidP="00131579">
      <w:pPr>
        <w:spacing w:after="0"/>
        <w:jc w:val="both"/>
        <w:rPr>
          <w:b/>
        </w:rPr>
      </w:pPr>
    </w:p>
    <w:p w:rsidR="00733D81" w:rsidRDefault="00733D81" w:rsidP="00131579">
      <w:pPr>
        <w:spacing w:after="0"/>
        <w:jc w:val="both"/>
        <w:rPr>
          <w:b/>
        </w:rPr>
      </w:pPr>
    </w:p>
    <w:p w:rsidR="00733D81" w:rsidRDefault="00733D81" w:rsidP="00131579">
      <w:pPr>
        <w:spacing w:after="0"/>
        <w:jc w:val="both"/>
        <w:rPr>
          <w:b/>
        </w:rPr>
      </w:pPr>
    </w:p>
    <w:p w:rsidR="00733D81" w:rsidRDefault="00733D81" w:rsidP="00131579">
      <w:pPr>
        <w:spacing w:after="0"/>
        <w:jc w:val="both"/>
        <w:rPr>
          <w:b/>
        </w:rPr>
      </w:pPr>
    </w:p>
    <w:p w:rsidR="00733D81" w:rsidRDefault="00733D81" w:rsidP="00131579">
      <w:pPr>
        <w:spacing w:after="0"/>
        <w:jc w:val="both"/>
        <w:rPr>
          <w:b/>
        </w:rPr>
      </w:pPr>
    </w:p>
    <w:p w:rsidR="00733D81" w:rsidRDefault="00733D81" w:rsidP="00131579">
      <w:pPr>
        <w:spacing w:after="0"/>
        <w:jc w:val="both"/>
        <w:rPr>
          <w:b/>
        </w:rPr>
      </w:pPr>
    </w:p>
    <w:p w:rsidR="003D6313" w:rsidRPr="00F95733" w:rsidRDefault="003D6313" w:rsidP="00131579">
      <w:pPr>
        <w:spacing w:after="0"/>
        <w:jc w:val="both"/>
        <w:rPr>
          <w:rFonts w:ascii="Arial" w:hAnsi="Arial" w:cs="Arial"/>
          <w:b/>
        </w:rPr>
      </w:pPr>
      <w:r w:rsidRPr="00F95733">
        <w:rPr>
          <w:rFonts w:ascii="Arial" w:hAnsi="Arial" w:cs="Arial"/>
          <w:b/>
        </w:rPr>
        <w:t>Document 1 : Origine de l’acidité des lacs au Québec</w:t>
      </w:r>
      <w:r w:rsidR="006A25ED" w:rsidRPr="00F95733">
        <w:rPr>
          <w:rFonts w:ascii="Arial" w:hAnsi="Arial" w:cs="Arial"/>
          <w:b/>
        </w:rPr>
        <w:t xml:space="preserve"> et conséquences</w:t>
      </w:r>
    </w:p>
    <w:p w:rsidR="003D6313" w:rsidRDefault="003D6313" w:rsidP="00131579">
      <w:pPr>
        <w:spacing w:after="0"/>
        <w:jc w:val="both"/>
      </w:pPr>
    </w:p>
    <w:p w:rsidR="003D6313" w:rsidRDefault="003D6313" w:rsidP="00131579">
      <w:pPr>
        <w:spacing w:after="0"/>
        <w:jc w:val="both"/>
        <w:rPr>
          <w:sz w:val="21"/>
          <w:szCs w:val="21"/>
        </w:rPr>
      </w:pPr>
      <w:r>
        <w:rPr>
          <w:sz w:val="21"/>
          <w:szCs w:val="21"/>
        </w:rPr>
        <w:t>Les oxydes de soufre et d’azote émis dans l’atmosphère sont les causes les plus importantes de l’acidité des précipitations. Ces polluants se combinent à l’humidité de l’air pour se transformer en acides sulfurique et nitrique, lesquels retombent ensuite au sol sous forme de pluies, neiges, dépôts secs et dépôts gazeux, et ce, après avoir parcouru des milliers de kilomètres. Certains phénomènes naturels contribuent également à la production de tels polluants. C’est le cas des volcans, des feux de forêts, de l’activité bactérienne dans les océans. Ces contributions naturelles sont toutefois moins importantes que celles d’origine humaine. Au Québec, plus de 75 % des oxydes de soufre ou d’azote proviennent des États-Unis ou de l’Ontario. Ces polluants ont été transportés sur de grande distance dans les masses d’air qui viennent du sud-ouest. Les mesures des sulfates (SO</w:t>
      </w:r>
      <w:r>
        <w:rPr>
          <w:sz w:val="14"/>
          <w:szCs w:val="14"/>
        </w:rPr>
        <w:t>4</w:t>
      </w:r>
      <w:r w:rsidRPr="003D6313">
        <w:rPr>
          <w:sz w:val="14"/>
          <w:szCs w:val="14"/>
          <w:vertAlign w:val="superscript"/>
        </w:rPr>
        <w:t>2-</w:t>
      </w:r>
      <w:r>
        <w:rPr>
          <w:sz w:val="21"/>
          <w:szCs w:val="21"/>
        </w:rPr>
        <w:t>) et des nitrates (NO</w:t>
      </w:r>
      <w:r>
        <w:rPr>
          <w:sz w:val="14"/>
          <w:szCs w:val="14"/>
        </w:rPr>
        <w:t>3</w:t>
      </w:r>
      <w:r>
        <w:rPr>
          <w:sz w:val="14"/>
          <w:szCs w:val="14"/>
          <w:vertAlign w:val="superscript"/>
        </w:rPr>
        <w:t>-</w:t>
      </w:r>
      <w:r>
        <w:rPr>
          <w:sz w:val="21"/>
          <w:szCs w:val="21"/>
        </w:rPr>
        <w:t>) sont utilisées comme indicateurs des apports en acides sulfurique (H</w:t>
      </w:r>
      <w:r>
        <w:rPr>
          <w:sz w:val="14"/>
          <w:szCs w:val="14"/>
        </w:rPr>
        <w:t>2</w:t>
      </w:r>
      <w:r>
        <w:rPr>
          <w:sz w:val="21"/>
          <w:szCs w:val="21"/>
        </w:rPr>
        <w:t>SO</w:t>
      </w:r>
      <w:r>
        <w:rPr>
          <w:sz w:val="14"/>
          <w:szCs w:val="14"/>
        </w:rPr>
        <w:t>4</w:t>
      </w:r>
      <w:r>
        <w:rPr>
          <w:sz w:val="21"/>
          <w:szCs w:val="21"/>
        </w:rPr>
        <w:t>) et nitrique (HNO</w:t>
      </w:r>
      <w:r>
        <w:rPr>
          <w:sz w:val="14"/>
          <w:szCs w:val="14"/>
        </w:rPr>
        <w:t>3</w:t>
      </w:r>
      <w:r>
        <w:rPr>
          <w:sz w:val="21"/>
          <w:szCs w:val="21"/>
        </w:rPr>
        <w:t>).</w:t>
      </w:r>
    </w:p>
    <w:p w:rsidR="003D6313" w:rsidRDefault="003D6313" w:rsidP="00131579">
      <w:pPr>
        <w:spacing w:after="0"/>
        <w:jc w:val="both"/>
        <w:rPr>
          <w:sz w:val="21"/>
          <w:szCs w:val="21"/>
        </w:rPr>
      </w:pPr>
    </w:p>
    <w:p w:rsidR="003D6313" w:rsidRDefault="003D6313" w:rsidP="00131579">
      <w:pPr>
        <w:spacing w:after="0"/>
        <w:jc w:val="both"/>
        <w:rPr>
          <w:sz w:val="21"/>
          <w:szCs w:val="21"/>
        </w:rPr>
      </w:pPr>
      <w:r>
        <w:rPr>
          <w:sz w:val="21"/>
          <w:szCs w:val="21"/>
        </w:rPr>
        <w:t xml:space="preserve">Un lac assure généralement l’intégrité de son écosystème tant que le pH se maintient entre 6 et 8,5 unités. Lorsque le pH passe de 6 à 5,5, les organismes aquatiques les plus intolérants à l’acidité disparaissent du milieu. C’est le cas des « menés » ou cyprins, de certaines plantes aquatiques comme les macrophytes et de certains invertébrés comme les moules et les écrevisses. Lorsqu’un pH atteint 5,5, 25 % des espèces de poissons ont disparu. Entre 5,5 et 5 unités, les dommages biologiques s’accélèrent. Lorsque le pH atteint 5 unités, il ne reste plus que 25 % des espèces de poisson d’origine. Lorsque le pH descend sous la barre des 5 unités, seuls les plus gros individus peuvent survivre et éventuellement disparaissent au terme de leur cycle de vie. </w:t>
      </w:r>
    </w:p>
    <w:p w:rsidR="009915DB" w:rsidRDefault="009915DB" w:rsidP="00131579">
      <w:pPr>
        <w:spacing w:after="0"/>
        <w:jc w:val="both"/>
        <w:rPr>
          <w:sz w:val="21"/>
          <w:szCs w:val="21"/>
        </w:rPr>
      </w:pPr>
    </w:p>
    <w:p w:rsidR="003D6313" w:rsidRPr="00F95733" w:rsidRDefault="003D6313" w:rsidP="00131579">
      <w:pPr>
        <w:spacing w:after="0"/>
        <w:jc w:val="both"/>
        <w:rPr>
          <w:rFonts w:ascii="Arial" w:hAnsi="Arial" w:cs="Arial"/>
          <w:b/>
        </w:rPr>
      </w:pPr>
      <w:r w:rsidRPr="00F95733">
        <w:rPr>
          <w:rFonts w:ascii="Arial" w:hAnsi="Arial" w:cs="Arial"/>
          <w:b/>
        </w:rPr>
        <w:t xml:space="preserve">Document </w:t>
      </w:r>
      <w:r w:rsidR="006A25ED" w:rsidRPr="00F95733">
        <w:rPr>
          <w:rFonts w:ascii="Arial" w:hAnsi="Arial" w:cs="Arial"/>
          <w:b/>
        </w:rPr>
        <w:t>2</w:t>
      </w:r>
      <w:r w:rsidRPr="00F95733">
        <w:rPr>
          <w:rFonts w:ascii="Arial" w:hAnsi="Arial" w:cs="Arial"/>
          <w:b/>
        </w:rPr>
        <w:t xml:space="preserve"> : </w:t>
      </w:r>
      <w:r w:rsidR="006B21D4" w:rsidRPr="00F95733">
        <w:rPr>
          <w:rFonts w:ascii="Arial" w:hAnsi="Arial" w:cs="Arial"/>
          <w:b/>
        </w:rPr>
        <w:t>Une technique de restauration, le chaulage</w:t>
      </w:r>
    </w:p>
    <w:p w:rsidR="003D6313" w:rsidRDefault="003D6313" w:rsidP="00131579">
      <w:pPr>
        <w:spacing w:after="0"/>
        <w:jc w:val="both"/>
        <w:rPr>
          <w:sz w:val="21"/>
          <w:szCs w:val="21"/>
        </w:rPr>
      </w:pPr>
    </w:p>
    <w:p w:rsidR="003D6313" w:rsidRDefault="00F95733" w:rsidP="00BC199A">
      <w:pPr>
        <w:spacing w:after="0"/>
        <w:jc w:val="both"/>
        <w:rPr>
          <w:sz w:val="21"/>
          <w:szCs w:val="21"/>
        </w:rPr>
      </w:pPr>
      <w:r w:rsidRPr="0009337A">
        <w:rPr>
          <w:noProof/>
          <w:sz w:val="21"/>
          <w:szCs w:val="21"/>
        </w:rPr>
        <w:drawing>
          <wp:anchor distT="0" distB="0" distL="114300" distR="114300" simplePos="0" relativeHeight="251661312" behindDoc="0" locked="0" layoutInCell="1" allowOverlap="1" wp14:anchorId="332A4579">
            <wp:simplePos x="0" y="0"/>
            <wp:positionH relativeFrom="column">
              <wp:posOffset>1875</wp:posOffset>
            </wp:positionH>
            <wp:positionV relativeFrom="paragraph">
              <wp:posOffset>5036</wp:posOffset>
            </wp:positionV>
            <wp:extent cx="1839600" cy="1112400"/>
            <wp:effectExtent l="0" t="0" r="8255"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39600" cy="111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6313">
        <w:rPr>
          <w:sz w:val="21"/>
          <w:szCs w:val="21"/>
        </w:rPr>
        <w:t>Le chaulage est utilisé de manière courante en Suède pour accroître le pH des lacs acides. Cette technique de restauration a été testée un peu partout dans le monde et même au Québec. Les effets bénéfiques sont assez faibles pour les organismes aquatiques et l’efficacité demeure relative puisqu’il faut recommencer le chaulage après un certain nombre d’années. De plus, cette approche de restauration ne s’applique pas à tous les lacs. Le chaulage est déconseillé pour les lacs aux eaux brunes, pour ceux dont l’eau se renouvelle rapidement ou encore pour ceux qui ne comportent pas de voies d’accès pour les camions. Le coût de l’opération est de plus assez élevé. Cette technique de restauration ne peut donc être envisagée à l’échelle du Québec. Elle peut toutefois être considérée par certaines collectivités de riverains qui désirent maintenir un pH convenable dans leur lac en attendant les bénéfices finaux attribuables aux réductions d’émissions.</w:t>
      </w:r>
    </w:p>
    <w:p w:rsidR="009915DB" w:rsidRDefault="009915DB" w:rsidP="00131579">
      <w:pPr>
        <w:spacing w:after="0"/>
        <w:jc w:val="both"/>
        <w:rPr>
          <w:sz w:val="21"/>
          <w:szCs w:val="21"/>
        </w:rPr>
      </w:pPr>
    </w:p>
    <w:p w:rsidR="000B1142" w:rsidRDefault="007E0836" w:rsidP="00131579">
      <w:pPr>
        <w:spacing w:after="0"/>
        <w:jc w:val="both"/>
        <w:rPr>
          <w:sz w:val="21"/>
          <w:szCs w:val="21"/>
        </w:rPr>
      </w:pPr>
      <w:hyperlink r:id="rId6" w:history="1">
        <w:r w:rsidR="009915DB" w:rsidRPr="00322A1B">
          <w:rPr>
            <w:rStyle w:val="Lienhypertexte"/>
            <w:sz w:val="21"/>
            <w:szCs w:val="21"/>
          </w:rPr>
          <w:t>http://www.environnement.gouv.qc.ca/eau/eco_aqua/lacs_acides/2004/lacs-acides-Qc.pdf</w:t>
        </w:r>
      </w:hyperlink>
    </w:p>
    <w:p w:rsidR="000B1142" w:rsidRDefault="000B1142" w:rsidP="00131579">
      <w:pPr>
        <w:spacing w:after="0"/>
        <w:jc w:val="both"/>
        <w:rPr>
          <w:sz w:val="21"/>
          <w:szCs w:val="21"/>
        </w:rPr>
      </w:pPr>
    </w:p>
    <w:p w:rsidR="00BC199A" w:rsidRDefault="00BC199A" w:rsidP="00131579">
      <w:pPr>
        <w:spacing w:after="0"/>
        <w:jc w:val="both"/>
        <w:rPr>
          <w:rFonts w:ascii="Arial" w:hAnsi="Arial" w:cs="Arial"/>
          <w:b/>
        </w:rPr>
      </w:pPr>
    </w:p>
    <w:p w:rsidR="00BC199A" w:rsidRDefault="00BC199A" w:rsidP="00131579">
      <w:pPr>
        <w:spacing w:after="0"/>
        <w:jc w:val="both"/>
        <w:rPr>
          <w:rFonts w:ascii="Arial" w:hAnsi="Arial" w:cs="Arial"/>
          <w:b/>
        </w:rPr>
      </w:pPr>
    </w:p>
    <w:p w:rsidR="00BC199A" w:rsidRDefault="00BC199A" w:rsidP="00131579">
      <w:pPr>
        <w:spacing w:after="0"/>
        <w:jc w:val="both"/>
        <w:rPr>
          <w:rFonts w:ascii="Arial" w:hAnsi="Arial" w:cs="Arial"/>
          <w:b/>
        </w:rPr>
      </w:pPr>
    </w:p>
    <w:p w:rsidR="00BC199A" w:rsidRDefault="00BC199A" w:rsidP="00131579">
      <w:pPr>
        <w:spacing w:after="0"/>
        <w:jc w:val="both"/>
        <w:rPr>
          <w:rFonts w:ascii="Arial" w:hAnsi="Arial" w:cs="Arial"/>
          <w:b/>
        </w:rPr>
      </w:pPr>
    </w:p>
    <w:p w:rsidR="00BC199A" w:rsidRDefault="00BC199A" w:rsidP="00131579">
      <w:pPr>
        <w:spacing w:after="0"/>
        <w:jc w:val="both"/>
        <w:rPr>
          <w:rFonts w:ascii="Arial" w:hAnsi="Arial" w:cs="Arial"/>
          <w:b/>
        </w:rPr>
      </w:pPr>
    </w:p>
    <w:p w:rsidR="00BC199A" w:rsidRDefault="00BC199A" w:rsidP="00131579">
      <w:pPr>
        <w:spacing w:after="0"/>
        <w:jc w:val="both"/>
        <w:rPr>
          <w:rFonts w:ascii="Arial" w:hAnsi="Arial" w:cs="Arial"/>
          <w:b/>
        </w:rPr>
      </w:pPr>
    </w:p>
    <w:p w:rsidR="00BC199A" w:rsidRDefault="00BC199A" w:rsidP="00131579">
      <w:pPr>
        <w:spacing w:after="0"/>
        <w:jc w:val="both"/>
        <w:rPr>
          <w:rFonts w:ascii="Arial" w:hAnsi="Arial" w:cs="Arial"/>
          <w:b/>
        </w:rPr>
      </w:pPr>
    </w:p>
    <w:p w:rsidR="009915DB" w:rsidRPr="00F95733" w:rsidRDefault="009915DB" w:rsidP="00131579">
      <w:pPr>
        <w:spacing w:after="0"/>
        <w:jc w:val="both"/>
        <w:rPr>
          <w:rFonts w:ascii="Arial" w:hAnsi="Arial" w:cs="Arial"/>
          <w:b/>
        </w:rPr>
      </w:pPr>
      <w:r w:rsidRPr="00F95733">
        <w:rPr>
          <w:rFonts w:ascii="Arial" w:hAnsi="Arial" w:cs="Arial"/>
          <w:b/>
        </w:rPr>
        <w:lastRenderedPageBreak/>
        <w:t xml:space="preserve">Document </w:t>
      </w:r>
      <w:r w:rsidR="006A25ED" w:rsidRPr="00F95733">
        <w:rPr>
          <w:rFonts w:ascii="Arial" w:hAnsi="Arial" w:cs="Arial"/>
          <w:b/>
        </w:rPr>
        <w:t>3</w:t>
      </w:r>
      <w:r w:rsidRPr="00F95733">
        <w:rPr>
          <w:rFonts w:ascii="Arial" w:hAnsi="Arial" w:cs="Arial"/>
          <w:b/>
        </w:rPr>
        <w:t> :</w:t>
      </w:r>
      <w:r w:rsidR="003E04C0" w:rsidRPr="00F95733">
        <w:rPr>
          <w:rFonts w:ascii="Arial" w:hAnsi="Arial" w:cs="Arial"/>
          <w:b/>
        </w:rPr>
        <w:t xml:space="preserve"> Article de journal concernant le chaulage du lac des hauteurs</w:t>
      </w:r>
    </w:p>
    <w:p w:rsidR="009915DB" w:rsidRDefault="009915DB" w:rsidP="00131579">
      <w:pPr>
        <w:spacing w:after="0"/>
        <w:jc w:val="both"/>
      </w:pPr>
    </w:p>
    <w:p w:rsidR="009915DB" w:rsidRDefault="009915DB" w:rsidP="00131579">
      <w:pPr>
        <w:autoSpaceDE w:val="0"/>
        <w:autoSpaceDN w:val="0"/>
        <w:adjustRightInd w:val="0"/>
        <w:spacing w:after="0" w:line="240" w:lineRule="auto"/>
        <w:jc w:val="both"/>
        <w:rPr>
          <w:rFonts w:ascii="ComicSansMS" w:hAnsi="ComicSansMS" w:cs="ComicSansMS"/>
          <w:color w:val="000000"/>
          <w:sz w:val="24"/>
          <w:szCs w:val="24"/>
        </w:rPr>
      </w:pPr>
      <w:r>
        <w:rPr>
          <w:rFonts w:ascii="ComicSansMS" w:hAnsi="ComicSansMS" w:cs="ComicSansMS"/>
          <w:color w:val="000000"/>
          <w:sz w:val="24"/>
          <w:szCs w:val="24"/>
        </w:rPr>
        <w:t>"Les habitants de l'Abitibi (</w:t>
      </w:r>
      <w:proofErr w:type="spellStart"/>
      <w:r>
        <w:rPr>
          <w:rFonts w:ascii="ComicSansMS" w:hAnsi="ComicSansMS" w:cs="ComicSansMS"/>
          <w:color w:val="000000"/>
          <w:sz w:val="24"/>
          <w:szCs w:val="24"/>
        </w:rPr>
        <w:t>Quebec</w:t>
      </w:r>
      <w:proofErr w:type="spellEnd"/>
      <w:r>
        <w:rPr>
          <w:rFonts w:ascii="ComicSansMS" w:hAnsi="ComicSansMS" w:cs="ComicSansMS"/>
          <w:color w:val="000000"/>
          <w:sz w:val="24"/>
          <w:szCs w:val="24"/>
        </w:rPr>
        <w:t>)… obligés de mettre de la calcite dans leur lac"</w:t>
      </w:r>
    </w:p>
    <w:p w:rsidR="009915DB" w:rsidRDefault="009915DB" w:rsidP="00131579">
      <w:pPr>
        <w:autoSpaceDE w:val="0"/>
        <w:autoSpaceDN w:val="0"/>
        <w:adjustRightInd w:val="0"/>
        <w:spacing w:after="0" w:line="240" w:lineRule="auto"/>
        <w:jc w:val="both"/>
        <w:rPr>
          <w:rFonts w:ascii="ComicSansMS" w:hAnsi="ComicSansMS" w:cs="ComicSansMS"/>
          <w:color w:val="000000"/>
          <w:sz w:val="24"/>
          <w:szCs w:val="24"/>
        </w:rPr>
      </w:pPr>
    </w:p>
    <w:p w:rsidR="009915DB" w:rsidRDefault="009915DB" w:rsidP="00131579">
      <w:pPr>
        <w:autoSpaceDE w:val="0"/>
        <w:autoSpaceDN w:val="0"/>
        <w:adjustRightInd w:val="0"/>
        <w:spacing w:after="0" w:line="240" w:lineRule="auto"/>
        <w:jc w:val="both"/>
        <w:rPr>
          <w:rFonts w:ascii="TimesNewRomanPS-BoldItalicMT" w:hAnsi="TimesNewRomanPS-BoldItalicMT" w:cs="TimesNewRomanPS-BoldItalicMT"/>
          <w:b/>
          <w:bCs/>
          <w:i/>
          <w:iCs/>
          <w:color w:val="000000"/>
        </w:rPr>
      </w:pPr>
      <w:r>
        <w:rPr>
          <w:rFonts w:ascii="TimesNewRomanPS-BoldItalicMT" w:hAnsi="TimesNewRomanPS-BoldItalicMT" w:cs="TimesNewRomanPS-BoldItalicMT"/>
          <w:b/>
          <w:bCs/>
          <w:i/>
          <w:iCs/>
          <w:color w:val="000000"/>
        </w:rPr>
        <w:t xml:space="preserve">"L’Echo Abitibien" (Québec) Par </w:t>
      </w:r>
      <w:r>
        <w:rPr>
          <w:rFonts w:ascii="TimesNewRomanPS-BoldItalicMT" w:hAnsi="TimesNewRomanPS-BoldItalicMT" w:cs="TimesNewRomanPS-BoldItalicMT"/>
          <w:b/>
          <w:bCs/>
          <w:i/>
          <w:iCs/>
          <w:color w:val="0000FF"/>
        </w:rPr>
        <w:t xml:space="preserve">Guy Lacroix </w:t>
      </w:r>
      <w:r>
        <w:rPr>
          <w:rFonts w:ascii="TimesNewRomanPS-BoldItalicMT" w:hAnsi="TimesNewRomanPS-BoldItalicMT" w:cs="TimesNewRomanPS-BoldItalicMT"/>
          <w:b/>
          <w:bCs/>
          <w:i/>
          <w:iCs/>
          <w:color w:val="000000"/>
        </w:rPr>
        <w:t>Vendredi 13 août 2010</w:t>
      </w:r>
    </w:p>
    <w:p w:rsidR="009915DB" w:rsidRDefault="009915DB" w:rsidP="00131579">
      <w:pPr>
        <w:autoSpaceDE w:val="0"/>
        <w:autoSpaceDN w:val="0"/>
        <w:adjustRightInd w:val="0"/>
        <w:spacing w:after="0" w:line="240" w:lineRule="auto"/>
        <w:jc w:val="both"/>
        <w:rPr>
          <w:rFonts w:ascii="TimesNewRomanPS-BoldItalicMT" w:hAnsi="TimesNewRomanPS-BoldItalicMT" w:cs="TimesNewRomanPS-BoldItalicMT"/>
          <w:b/>
          <w:bCs/>
          <w:i/>
          <w:iCs/>
          <w:color w:val="000000"/>
        </w:rPr>
      </w:pPr>
    </w:p>
    <w:p w:rsidR="009915DB" w:rsidRDefault="009915DB" w:rsidP="00131579">
      <w:pPr>
        <w:autoSpaceDE w:val="0"/>
        <w:autoSpaceDN w:val="0"/>
        <w:adjustRightInd w:val="0"/>
        <w:spacing w:after="0" w:line="240" w:lineRule="auto"/>
        <w:jc w:val="both"/>
        <w:rPr>
          <w:rFonts w:ascii="TimesNewRomanPS-ItalicMT" w:hAnsi="TimesNewRomanPS-ItalicMT" w:cs="TimesNewRomanPS-ItalicMT"/>
          <w:i/>
          <w:iCs/>
          <w:color w:val="000000"/>
        </w:rPr>
      </w:pPr>
      <w:r>
        <w:rPr>
          <w:rFonts w:ascii="TimesNewRomanPSMT" w:hAnsi="TimesNewRomanPSMT" w:cs="TimesNewRomanPSMT"/>
          <w:color w:val="000000"/>
        </w:rPr>
        <w:t>T</w:t>
      </w:r>
      <w:r>
        <w:rPr>
          <w:rFonts w:ascii="TimesNewRomanPS-ItalicMT" w:hAnsi="TimesNewRomanPS-ItalicMT" w:cs="TimesNewRomanPS-ItalicMT"/>
          <w:i/>
          <w:iCs/>
          <w:color w:val="000000"/>
        </w:rPr>
        <w:t>ouchés par les pluies acides, les résidents du lac des Hauteurs (d’une profondeur</w:t>
      </w:r>
    </w:p>
    <w:p w:rsidR="009915DB" w:rsidRDefault="009915DB" w:rsidP="00131579">
      <w:pPr>
        <w:autoSpaceDE w:val="0"/>
        <w:autoSpaceDN w:val="0"/>
        <w:adjustRightInd w:val="0"/>
        <w:spacing w:after="0" w:line="240" w:lineRule="auto"/>
        <w:jc w:val="both"/>
        <w:rPr>
          <w:rFonts w:ascii="TimesNewRomanPS-ItalicMT" w:hAnsi="TimesNewRomanPS-ItalicMT" w:cs="TimesNewRomanPS-ItalicMT"/>
          <w:i/>
          <w:iCs/>
          <w:color w:val="000000"/>
        </w:rPr>
      </w:pPr>
      <w:proofErr w:type="gramStart"/>
      <w:r>
        <w:rPr>
          <w:rFonts w:ascii="TimesNewRomanPS-ItalicMT" w:hAnsi="TimesNewRomanPS-ItalicMT" w:cs="TimesNewRomanPS-ItalicMT"/>
          <w:i/>
          <w:iCs/>
          <w:color w:val="000000"/>
        </w:rPr>
        <w:t>moyenne</w:t>
      </w:r>
      <w:proofErr w:type="gramEnd"/>
      <w:r>
        <w:rPr>
          <w:rFonts w:ascii="TimesNewRomanPS-ItalicMT" w:hAnsi="TimesNewRomanPS-ItalicMT" w:cs="TimesNewRomanPS-ItalicMT"/>
          <w:i/>
          <w:iCs/>
          <w:color w:val="000000"/>
        </w:rPr>
        <w:t xml:space="preserve"> de 13 m) doivent procéder au chaulage de leur plan d'eau afin de respecter les normes de qualité de l'eau et de permettre à la faune de s'y établir.</w:t>
      </w:r>
    </w:p>
    <w:p w:rsidR="009915DB" w:rsidRDefault="009915DB" w:rsidP="00131579">
      <w:pPr>
        <w:autoSpaceDE w:val="0"/>
        <w:autoSpaceDN w:val="0"/>
        <w:adjustRightInd w:val="0"/>
        <w:spacing w:after="0" w:line="240" w:lineRule="auto"/>
        <w:jc w:val="both"/>
        <w:rPr>
          <w:rFonts w:ascii="TimesNewRomanPS-ItalicMT" w:hAnsi="TimesNewRomanPS-ItalicMT" w:cs="TimesNewRomanPS-ItalicMT"/>
          <w:i/>
          <w:iCs/>
          <w:color w:val="000000"/>
        </w:rPr>
      </w:pPr>
      <w:r>
        <w:rPr>
          <w:rFonts w:ascii="TimesNewRomanPS-ItalicMT" w:hAnsi="TimesNewRomanPS-ItalicMT" w:cs="TimesNewRomanPS-ItalicMT"/>
          <w:i/>
          <w:iCs/>
          <w:color w:val="000000"/>
        </w:rPr>
        <w:t>La mise de calcite pour ramener l'eau à un état neutre n'est pas une nouveauté pour les propriétaires fonciers du secteur qui ont déjà procédé à cette opération en 1995. "Le lac des Hauteurs est très sensible aux pluies acides émises par les grosses industries, explique Gérard Dufresne, président du Club des Hauteurs, une association de riverains créées en 1955. Dans la majorité des lacs de l'Abitibi, l'argile qui s'y trouve neutralise l'acidité naturellement alors qu'ici tout est en sable."</w:t>
      </w:r>
    </w:p>
    <w:p w:rsidR="009915DB" w:rsidRDefault="009915DB" w:rsidP="00131579">
      <w:pPr>
        <w:autoSpaceDE w:val="0"/>
        <w:autoSpaceDN w:val="0"/>
        <w:adjustRightInd w:val="0"/>
        <w:spacing w:after="0" w:line="240" w:lineRule="auto"/>
        <w:jc w:val="both"/>
        <w:rPr>
          <w:rFonts w:ascii="TimesNewRomanPS-ItalicMT" w:hAnsi="TimesNewRomanPS-ItalicMT" w:cs="TimesNewRomanPS-ItalicMT"/>
          <w:i/>
          <w:iCs/>
          <w:color w:val="000000"/>
        </w:rPr>
      </w:pPr>
      <w:r>
        <w:rPr>
          <w:rFonts w:ascii="TimesNewRomanPS-ItalicMT" w:hAnsi="TimesNewRomanPS-ItalicMT" w:cs="TimesNewRomanPS-ItalicMT"/>
          <w:i/>
          <w:iCs/>
          <w:color w:val="000000"/>
        </w:rPr>
        <w:t>Avec un pH de 4,2 (une eau neutre a un pH de 7,0), la qualité de l'eau était à risque pour la santé et pour la faune. (…) Des problèmes de dermatite peuvent également survenir au contact d'une eau acidifiée et le ministère de l'Environnement confirme qu'un pH de 5,5 est le seuil sous lequel les dommages aux organismes vivants deviennent très marqués.</w:t>
      </w:r>
    </w:p>
    <w:p w:rsidR="009915DB" w:rsidRDefault="009915DB" w:rsidP="00131579">
      <w:pPr>
        <w:autoSpaceDE w:val="0"/>
        <w:autoSpaceDN w:val="0"/>
        <w:adjustRightInd w:val="0"/>
        <w:spacing w:after="0" w:line="240" w:lineRule="auto"/>
        <w:jc w:val="both"/>
        <w:rPr>
          <w:rFonts w:ascii="TimesNewRomanPS-ItalicMT" w:hAnsi="TimesNewRomanPS-ItalicMT" w:cs="TimesNewRomanPS-ItalicMT"/>
          <w:i/>
          <w:iCs/>
          <w:color w:val="000000"/>
        </w:rPr>
      </w:pPr>
      <w:r>
        <w:rPr>
          <w:rFonts w:ascii="TimesNewRomanPS-ItalicMT" w:hAnsi="TimesNewRomanPS-ItalicMT" w:cs="TimesNewRomanPS-ItalicMT"/>
          <w:i/>
          <w:iCs/>
          <w:color w:val="000000"/>
        </w:rPr>
        <w:t>Dans sa situation actuelle, le lac des Hauteurs offre un environnement très peu favorable à la nature. L'injection de 26 tonnes de calcite devrait permettre une véritable renaissance du lac.</w:t>
      </w:r>
    </w:p>
    <w:p w:rsidR="00F95733" w:rsidRDefault="00F95733" w:rsidP="00131579">
      <w:pPr>
        <w:autoSpaceDE w:val="0"/>
        <w:autoSpaceDN w:val="0"/>
        <w:adjustRightInd w:val="0"/>
        <w:spacing w:after="0" w:line="240" w:lineRule="auto"/>
        <w:jc w:val="both"/>
        <w:rPr>
          <w:rFonts w:ascii="TimesNewRomanPS-ItalicMT" w:hAnsi="TimesNewRomanPS-ItalicMT" w:cs="TimesNewRomanPS-ItalicMT"/>
          <w:i/>
          <w:iCs/>
          <w:color w:val="000000"/>
        </w:rPr>
      </w:pPr>
    </w:p>
    <w:p w:rsidR="00216E1D" w:rsidRDefault="00F95733" w:rsidP="00131579">
      <w:pPr>
        <w:autoSpaceDE w:val="0"/>
        <w:autoSpaceDN w:val="0"/>
        <w:adjustRightInd w:val="0"/>
        <w:spacing w:after="0" w:line="240" w:lineRule="auto"/>
        <w:jc w:val="both"/>
        <w:rPr>
          <w:rFonts w:ascii="TimesNewRomanPS-ItalicMT" w:hAnsi="TimesNewRomanPS-ItalicMT" w:cs="TimesNewRomanPS-ItalicMT"/>
          <w:i/>
          <w:iCs/>
          <w:color w:val="000000"/>
        </w:rPr>
      </w:pPr>
      <w:r>
        <w:rPr>
          <w:noProof/>
        </w:rPr>
        <mc:AlternateContent>
          <mc:Choice Requires="wps">
            <w:drawing>
              <wp:anchor distT="0" distB="0" distL="114300" distR="114300" simplePos="0" relativeHeight="251660288" behindDoc="0" locked="0" layoutInCell="1" allowOverlap="1">
                <wp:simplePos x="0" y="0"/>
                <wp:positionH relativeFrom="column">
                  <wp:posOffset>44125</wp:posOffset>
                </wp:positionH>
                <wp:positionV relativeFrom="paragraph">
                  <wp:posOffset>20438</wp:posOffset>
                </wp:positionV>
                <wp:extent cx="6539023" cy="393405"/>
                <wp:effectExtent l="0" t="0" r="14605" b="26035"/>
                <wp:wrapNone/>
                <wp:docPr id="3" name="Rectangle : coins arrondis 3"/>
                <wp:cNvGraphicFramePr/>
                <a:graphic xmlns:a="http://schemas.openxmlformats.org/drawingml/2006/main">
                  <a:graphicData uri="http://schemas.microsoft.com/office/word/2010/wordprocessingShape">
                    <wps:wsp>
                      <wps:cNvSpPr/>
                      <wps:spPr>
                        <a:xfrm>
                          <a:off x="0" y="0"/>
                          <a:ext cx="6539023" cy="39340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40724" w:rsidRPr="00216E1D" w:rsidRDefault="00340724" w:rsidP="00F95733">
                            <w:pPr>
                              <w:autoSpaceDE w:val="0"/>
                              <w:autoSpaceDN w:val="0"/>
                              <w:adjustRightInd w:val="0"/>
                              <w:spacing w:after="0" w:line="240" w:lineRule="auto"/>
                              <w:jc w:val="both"/>
                              <w:rPr>
                                <w:rFonts w:ascii="TimesNewRomanPS-ItalicMT" w:hAnsi="TimesNewRomanPS-ItalicMT" w:cs="TimesNewRomanPS-ItalicMT"/>
                                <w:b/>
                                <w:iCs/>
                                <w:color w:val="000000"/>
                              </w:rPr>
                            </w:pPr>
                            <w:r w:rsidRPr="00216E1D">
                              <w:rPr>
                                <w:rFonts w:ascii="TimesNewRomanPS-ItalicMT" w:hAnsi="TimesNewRomanPS-ItalicMT" w:cs="TimesNewRomanPS-ItalicMT"/>
                                <w:b/>
                                <w:iCs/>
                                <w:color w:val="000000"/>
                              </w:rPr>
                              <w:t>La calcite est une forme de carbonate de calcium, de formule CaCO3(s)</w:t>
                            </w:r>
                            <w:r>
                              <w:rPr>
                                <w:rFonts w:ascii="TimesNewRomanPS-ItalicMT" w:hAnsi="TimesNewRomanPS-ItalicMT" w:cs="TimesNewRomanPS-ItalicMT"/>
                                <w:b/>
                                <w:iCs/>
                                <w:color w:val="000000"/>
                              </w:rPr>
                              <w:t>, comportant les ions Ca</w:t>
                            </w:r>
                            <w:r w:rsidRPr="00F95733">
                              <w:rPr>
                                <w:rFonts w:ascii="TimesNewRomanPS-ItalicMT" w:hAnsi="TimesNewRomanPS-ItalicMT" w:cs="TimesNewRomanPS-ItalicMT"/>
                                <w:b/>
                                <w:iCs/>
                                <w:color w:val="000000"/>
                                <w:vertAlign w:val="superscript"/>
                              </w:rPr>
                              <w:t>2+</w:t>
                            </w:r>
                            <w:r>
                              <w:rPr>
                                <w:rFonts w:ascii="TimesNewRomanPS-ItalicMT" w:hAnsi="TimesNewRomanPS-ItalicMT" w:cs="TimesNewRomanPS-ItalicMT"/>
                                <w:b/>
                                <w:iCs/>
                                <w:color w:val="000000"/>
                              </w:rPr>
                              <w:t xml:space="preserve"> et CO</w:t>
                            </w:r>
                            <w:r w:rsidRPr="00F95733">
                              <w:rPr>
                                <w:rFonts w:ascii="TimesNewRomanPS-ItalicMT" w:hAnsi="TimesNewRomanPS-ItalicMT" w:cs="TimesNewRomanPS-ItalicMT"/>
                                <w:b/>
                                <w:iCs/>
                                <w:color w:val="000000"/>
                                <w:vertAlign w:val="subscript"/>
                              </w:rPr>
                              <w:t>3</w:t>
                            </w:r>
                            <w:r w:rsidRPr="00F95733">
                              <w:rPr>
                                <w:rFonts w:ascii="TimesNewRomanPS-ItalicMT" w:hAnsi="TimesNewRomanPS-ItalicMT" w:cs="TimesNewRomanPS-ItalicMT"/>
                                <w:b/>
                                <w:iCs/>
                                <w:color w:val="000000"/>
                                <w:vertAlign w:val="superscript"/>
                              </w:rPr>
                              <w:t>2-</w:t>
                            </w:r>
                          </w:p>
                          <w:p w:rsidR="00340724" w:rsidRDefault="00340724" w:rsidP="00F9573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ectangle : coins arrondis 3" o:spid="_x0000_s1027" style="position:absolute;left:0;text-align:left;margin-left:3.45pt;margin-top:1.6pt;width:514.9pt;height:31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" fillcolor="white [3201]" strokecolor="black [3213]" strokeweight="1pt">
                <v:stroke joinstyle="miter"/>
                <v:textbox>
                  <w:txbxContent>
                    <w:p w:rsidR="00340724" w:rsidRPr="00216E1D" w:rsidRDefault="00340724" w:rsidP="00F95733">
                      <w:pPr>
                        <w:autoSpaceDE w:val="0"/>
                        <w:autoSpaceDN w:val="0"/>
                        <w:adjustRightInd w:val="0"/>
                        <w:spacing w:after="0" w:line="240" w:lineRule="auto"/>
                        <w:jc w:val="both"/>
                        <w:rPr>
                          <w:rFonts w:ascii="TimesNewRomanPS-ItalicMT" w:hAnsi="TimesNewRomanPS-ItalicMT" w:cs="TimesNewRomanPS-ItalicMT"/>
                          <w:b/>
                          <w:iCs/>
                          <w:color w:val="000000"/>
                        </w:rPr>
                      </w:pPr>
                      <w:r w:rsidRPr="00216E1D">
                        <w:rPr>
                          <w:rFonts w:ascii="TimesNewRomanPS-ItalicMT" w:hAnsi="TimesNewRomanPS-ItalicMT" w:cs="TimesNewRomanPS-ItalicMT"/>
                          <w:b/>
                          <w:iCs/>
                          <w:color w:val="000000"/>
                        </w:rPr>
                        <w:t>La calcite est une forme de carbonate de calcium, de formule CaCO3(s)</w:t>
                      </w:r>
                      <w:r>
                        <w:rPr>
                          <w:rFonts w:ascii="TimesNewRomanPS-ItalicMT" w:hAnsi="TimesNewRomanPS-ItalicMT" w:cs="TimesNewRomanPS-ItalicMT"/>
                          <w:b/>
                          <w:iCs/>
                          <w:color w:val="000000"/>
                        </w:rPr>
                        <w:t>, comportant les ions Ca</w:t>
                      </w:r>
                      <w:r w:rsidRPr="00F95733">
                        <w:rPr>
                          <w:rFonts w:ascii="TimesNewRomanPS-ItalicMT" w:hAnsi="TimesNewRomanPS-ItalicMT" w:cs="TimesNewRomanPS-ItalicMT"/>
                          <w:b/>
                          <w:iCs/>
                          <w:color w:val="000000"/>
                          <w:vertAlign w:val="superscript"/>
                        </w:rPr>
                        <w:t>2+</w:t>
                      </w:r>
                      <w:r>
                        <w:rPr>
                          <w:rFonts w:ascii="TimesNewRomanPS-ItalicMT" w:hAnsi="TimesNewRomanPS-ItalicMT" w:cs="TimesNewRomanPS-ItalicMT"/>
                          <w:b/>
                          <w:iCs/>
                          <w:color w:val="000000"/>
                        </w:rPr>
                        <w:t xml:space="preserve"> et CO</w:t>
                      </w:r>
                      <w:r w:rsidRPr="00F95733">
                        <w:rPr>
                          <w:rFonts w:ascii="TimesNewRomanPS-ItalicMT" w:hAnsi="TimesNewRomanPS-ItalicMT" w:cs="TimesNewRomanPS-ItalicMT"/>
                          <w:b/>
                          <w:iCs/>
                          <w:color w:val="000000"/>
                          <w:vertAlign w:val="subscript"/>
                        </w:rPr>
                        <w:t>3</w:t>
                      </w:r>
                      <w:r w:rsidRPr="00F95733">
                        <w:rPr>
                          <w:rFonts w:ascii="TimesNewRomanPS-ItalicMT" w:hAnsi="TimesNewRomanPS-ItalicMT" w:cs="TimesNewRomanPS-ItalicMT"/>
                          <w:b/>
                          <w:iCs/>
                          <w:color w:val="000000"/>
                          <w:vertAlign w:val="superscript"/>
                        </w:rPr>
                        <w:t>2-</w:t>
                      </w:r>
                    </w:p>
                    <w:p w:rsidR="00340724" w:rsidRDefault="00340724" w:rsidP="00F95733">
                      <w:pPr>
                        <w:jc w:val="center"/>
                      </w:pPr>
                    </w:p>
                  </w:txbxContent>
                </v:textbox>
              </v:roundrect>
            </w:pict>
          </mc:Fallback>
        </mc:AlternateContent>
      </w:r>
    </w:p>
    <w:p w:rsidR="009915DB" w:rsidRDefault="009915DB" w:rsidP="00D46E53">
      <w:pPr>
        <w:spacing w:after="0"/>
      </w:pPr>
    </w:p>
    <w:p w:rsidR="00F95733" w:rsidRDefault="00F95733" w:rsidP="00D46E53">
      <w:pPr>
        <w:spacing w:after="0"/>
      </w:pPr>
    </w:p>
    <w:p w:rsidR="00F95733" w:rsidRDefault="00F95733" w:rsidP="00D46E53">
      <w:pPr>
        <w:spacing w:after="0"/>
      </w:pPr>
    </w:p>
    <w:p w:rsidR="00D46E53" w:rsidRPr="00F95733" w:rsidRDefault="009915DB" w:rsidP="003953AA">
      <w:pPr>
        <w:spacing w:after="0"/>
        <w:rPr>
          <w:rFonts w:ascii="Arial" w:hAnsi="Arial" w:cs="Arial"/>
          <w:b/>
        </w:rPr>
      </w:pPr>
      <w:r w:rsidRPr="00F95733">
        <w:rPr>
          <w:rFonts w:ascii="Arial" w:hAnsi="Arial" w:cs="Arial"/>
          <w:b/>
        </w:rPr>
        <w:t xml:space="preserve">Document </w:t>
      </w:r>
      <w:r w:rsidR="006A25ED" w:rsidRPr="00F95733">
        <w:rPr>
          <w:rFonts w:ascii="Arial" w:hAnsi="Arial" w:cs="Arial"/>
          <w:b/>
        </w:rPr>
        <w:t>4</w:t>
      </w:r>
      <w:r w:rsidR="00F95733" w:rsidRPr="00F95733">
        <w:rPr>
          <w:rFonts w:ascii="Arial" w:hAnsi="Arial" w:cs="Arial"/>
          <w:b/>
        </w:rPr>
        <w:t> </w:t>
      </w:r>
      <w:r w:rsidRPr="00F95733">
        <w:rPr>
          <w:rFonts w:ascii="Arial" w:hAnsi="Arial" w:cs="Arial"/>
          <w:b/>
        </w:rPr>
        <w:t xml:space="preserve">: </w:t>
      </w:r>
      <w:r w:rsidR="00716750" w:rsidRPr="00F95733">
        <w:rPr>
          <w:rFonts w:ascii="Arial" w:hAnsi="Arial" w:cs="Arial"/>
          <w:b/>
        </w:rPr>
        <w:t xml:space="preserve"> </w:t>
      </w:r>
      <w:r w:rsidR="003953AA" w:rsidRPr="00F95733">
        <w:rPr>
          <w:rFonts w:ascii="Arial" w:hAnsi="Arial" w:cs="Arial"/>
          <w:b/>
        </w:rPr>
        <w:t>Carte du lac des hauteurs</w:t>
      </w:r>
    </w:p>
    <w:p w:rsidR="003953AA" w:rsidRDefault="003953AA" w:rsidP="003953AA">
      <w:pPr>
        <w:spacing w:after="0"/>
        <w:rPr>
          <w:b/>
        </w:rPr>
      </w:pPr>
    </w:p>
    <w:p w:rsidR="003953AA" w:rsidRDefault="003953AA" w:rsidP="003953AA">
      <w:pPr>
        <w:spacing w:after="0"/>
        <w:jc w:val="center"/>
        <w:rPr>
          <w:b/>
        </w:rPr>
      </w:pPr>
      <w:r>
        <w:rPr>
          <w:noProof/>
        </w:rPr>
        <w:drawing>
          <wp:inline distT="0" distB="0" distL="0" distR="0" wp14:anchorId="79F3E2F8" wp14:editId="1C5730F8">
            <wp:extent cx="4423144" cy="5252944"/>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23144" cy="5252944"/>
                    </a:xfrm>
                    <a:prstGeom prst="rect">
                      <a:avLst/>
                    </a:prstGeom>
                    <a:noFill/>
                    <a:ln>
                      <a:noFill/>
                    </a:ln>
                  </pic:spPr>
                </pic:pic>
              </a:graphicData>
            </a:graphic>
          </wp:inline>
        </w:drawing>
      </w:r>
    </w:p>
    <w:p w:rsidR="003C009E" w:rsidRDefault="003C009E" w:rsidP="00D46E53">
      <w:pPr>
        <w:spacing w:after="0"/>
        <w:jc w:val="both"/>
        <w:rPr>
          <w:rFonts w:ascii="Arial" w:hAnsi="Arial" w:cs="Arial"/>
          <w:b/>
        </w:rPr>
      </w:pPr>
      <w:r>
        <w:rPr>
          <w:rFonts w:ascii="Arial" w:hAnsi="Arial" w:cs="Arial"/>
          <w:b/>
        </w:rPr>
        <w:lastRenderedPageBreak/>
        <w:t>Document 5 : Données et couples acide/base intervenant au cours du chaulage</w:t>
      </w:r>
    </w:p>
    <w:p w:rsidR="004961F0" w:rsidRDefault="004961F0" w:rsidP="00D46E53">
      <w:pPr>
        <w:spacing w:after="0"/>
        <w:jc w:val="both"/>
        <w:rPr>
          <w:rFonts w:ascii="Arial" w:hAnsi="Arial" w:cs="Arial"/>
          <w:b/>
        </w:rPr>
      </w:pPr>
    </w:p>
    <w:p w:rsidR="008B4726" w:rsidRDefault="003C009E" w:rsidP="003C009E">
      <w:pPr>
        <w:autoSpaceDE w:val="0"/>
        <w:autoSpaceDN w:val="0"/>
        <w:adjustRightInd w:val="0"/>
        <w:spacing w:after="0" w:line="240" w:lineRule="auto"/>
        <w:rPr>
          <w:rFonts w:eastAsia="SymbolMT" w:cstheme="minorHAnsi"/>
        </w:rPr>
      </w:pPr>
      <w:r w:rsidRPr="004961F0">
        <w:rPr>
          <w:rFonts w:cstheme="minorHAnsi"/>
        </w:rPr>
        <w:t xml:space="preserve">Couples acide/base intervenant au cours du chaulage : </w:t>
      </w:r>
      <w:r w:rsidR="008B4726">
        <w:rPr>
          <w:rFonts w:cstheme="minorHAnsi"/>
        </w:rPr>
        <w:tab/>
        <w:t xml:space="preserve">     </w:t>
      </w:r>
      <w:proofErr w:type="gramStart"/>
      <w:r w:rsidRPr="004961F0">
        <w:rPr>
          <w:rFonts w:cstheme="minorHAnsi"/>
        </w:rPr>
        <w:t>CO</w:t>
      </w:r>
      <w:r w:rsidRPr="004961F0">
        <w:rPr>
          <w:rFonts w:cstheme="minorHAnsi"/>
          <w:vertAlign w:val="subscript"/>
        </w:rPr>
        <w:t>2</w:t>
      </w:r>
      <w:r w:rsidRPr="004961F0">
        <w:rPr>
          <w:rFonts w:cstheme="minorHAnsi"/>
        </w:rPr>
        <w:t>,H</w:t>
      </w:r>
      <w:r w:rsidRPr="004961F0">
        <w:rPr>
          <w:rFonts w:cstheme="minorHAnsi"/>
          <w:vertAlign w:val="subscript"/>
        </w:rPr>
        <w:t>2</w:t>
      </w:r>
      <w:r w:rsidRPr="004961F0">
        <w:rPr>
          <w:rFonts w:cstheme="minorHAnsi"/>
        </w:rPr>
        <w:t>O</w:t>
      </w:r>
      <w:proofErr w:type="gramEnd"/>
      <w:r w:rsidRPr="004961F0">
        <w:rPr>
          <w:rFonts w:cstheme="minorHAnsi"/>
          <w:vertAlign w:val="subscript"/>
        </w:rPr>
        <w:t>(</w:t>
      </w:r>
      <w:proofErr w:type="spellStart"/>
      <w:r w:rsidRPr="004961F0">
        <w:rPr>
          <w:rFonts w:cstheme="minorHAnsi"/>
          <w:vertAlign w:val="subscript"/>
        </w:rPr>
        <w:t>aq</w:t>
      </w:r>
      <w:proofErr w:type="spellEnd"/>
      <w:r w:rsidRPr="004961F0">
        <w:rPr>
          <w:rFonts w:cstheme="minorHAnsi"/>
          <w:vertAlign w:val="subscript"/>
        </w:rPr>
        <w:t>)</w:t>
      </w:r>
      <w:r w:rsidRPr="004961F0">
        <w:rPr>
          <w:rFonts w:cstheme="minorHAnsi"/>
        </w:rPr>
        <w:t xml:space="preserve"> /HCO</w:t>
      </w:r>
      <w:r w:rsidRPr="004961F0">
        <w:rPr>
          <w:rFonts w:cstheme="minorHAnsi"/>
          <w:vertAlign w:val="subscript"/>
        </w:rPr>
        <w:t>3</w:t>
      </w:r>
      <w:r w:rsidRPr="004961F0">
        <w:rPr>
          <w:rFonts w:cstheme="minorHAnsi"/>
          <w:vertAlign w:val="superscript"/>
        </w:rPr>
        <w:t>-</w:t>
      </w:r>
      <w:r w:rsidRPr="004961F0">
        <w:rPr>
          <w:rFonts w:cstheme="minorHAnsi"/>
          <w:vertAlign w:val="subscript"/>
        </w:rPr>
        <w:t>(</w:t>
      </w:r>
      <w:proofErr w:type="spellStart"/>
      <w:r w:rsidRPr="004961F0">
        <w:rPr>
          <w:rFonts w:cstheme="minorHAnsi"/>
          <w:vertAlign w:val="subscript"/>
        </w:rPr>
        <w:t>aq</w:t>
      </w:r>
      <w:proofErr w:type="spellEnd"/>
      <w:r w:rsidRPr="004961F0">
        <w:rPr>
          <w:rFonts w:cstheme="minorHAnsi"/>
          <w:vertAlign w:val="subscript"/>
        </w:rPr>
        <w:t>)</w:t>
      </w:r>
      <w:r w:rsidRPr="004961F0">
        <w:rPr>
          <w:rFonts w:cstheme="minorHAnsi"/>
        </w:rPr>
        <w:t xml:space="preserve"> </w:t>
      </w:r>
      <w:r w:rsidRPr="004961F0">
        <w:rPr>
          <w:rFonts w:eastAsia="SymbolMT" w:cstheme="minorHAnsi"/>
        </w:rPr>
        <w:t xml:space="preserve"> </w:t>
      </w:r>
      <w:r w:rsidR="008B4726">
        <w:rPr>
          <w:rFonts w:eastAsia="SymbolMT" w:cstheme="minorHAnsi"/>
        </w:rPr>
        <w:tab/>
        <w:t>Pka1= 6,2</w:t>
      </w:r>
    </w:p>
    <w:p w:rsidR="003C009E" w:rsidRPr="008B4726" w:rsidRDefault="008B4726" w:rsidP="008B4726">
      <w:pPr>
        <w:autoSpaceDE w:val="0"/>
        <w:autoSpaceDN w:val="0"/>
        <w:adjustRightInd w:val="0"/>
        <w:spacing w:after="0" w:line="240" w:lineRule="auto"/>
        <w:ind w:left="4248" w:firstLine="708"/>
        <w:rPr>
          <w:rFonts w:cstheme="minorHAnsi"/>
        </w:rPr>
      </w:pPr>
      <w:r>
        <w:rPr>
          <w:rFonts w:cstheme="minorHAnsi"/>
        </w:rPr>
        <w:t xml:space="preserve">    </w:t>
      </w:r>
      <w:r w:rsidR="003C009E" w:rsidRPr="004961F0">
        <w:rPr>
          <w:rFonts w:cstheme="minorHAnsi"/>
        </w:rPr>
        <w:t xml:space="preserve"> HCO</w:t>
      </w:r>
      <w:r w:rsidR="003C009E" w:rsidRPr="004961F0">
        <w:rPr>
          <w:rFonts w:cstheme="minorHAnsi"/>
          <w:vertAlign w:val="subscript"/>
        </w:rPr>
        <w:t>3</w:t>
      </w:r>
      <w:r w:rsidR="003C009E" w:rsidRPr="004961F0">
        <w:rPr>
          <w:rFonts w:cstheme="minorHAnsi"/>
          <w:vertAlign w:val="superscript"/>
        </w:rPr>
        <w:t>-</w:t>
      </w:r>
      <w:r w:rsidR="003C009E" w:rsidRPr="004961F0">
        <w:rPr>
          <w:rFonts w:eastAsia="SymbolMT" w:cstheme="minorHAnsi"/>
        </w:rPr>
        <w:t xml:space="preserve"> </w:t>
      </w:r>
      <w:r w:rsidR="003C009E" w:rsidRPr="004961F0">
        <w:rPr>
          <w:rFonts w:cstheme="minorHAnsi"/>
          <w:vertAlign w:val="subscript"/>
        </w:rPr>
        <w:t>(</w:t>
      </w:r>
      <w:proofErr w:type="spellStart"/>
      <w:proofErr w:type="gramStart"/>
      <w:r w:rsidR="003C009E" w:rsidRPr="004961F0">
        <w:rPr>
          <w:rFonts w:cstheme="minorHAnsi"/>
          <w:vertAlign w:val="subscript"/>
        </w:rPr>
        <w:t>aq</w:t>
      </w:r>
      <w:proofErr w:type="spellEnd"/>
      <w:r w:rsidR="003C009E" w:rsidRPr="004961F0">
        <w:rPr>
          <w:rFonts w:cstheme="minorHAnsi"/>
          <w:vertAlign w:val="subscript"/>
        </w:rPr>
        <w:t>)</w:t>
      </w:r>
      <w:r w:rsidR="003C009E" w:rsidRPr="004961F0">
        <w:rPr>
          <w:rFonts w:cstheme="minorHAnsi"/>
        </w:rPr>
        <w:t xml:space="preserve"> </w:t>
      </w:r>
      <w:r w:rsidR="003C009E" w:rsidRPr="004961F0">
        <w:rPr>
          <w:rFonts w:eastAsia="SymbolMT" w:cstheme="minorHAnsi"/>
        </w:rPr>
        <w:t xml:space="preserve"> </w:t>
      </w:r>
      <w:r w:rsidR="003C009E" w:rsidRPr="004961F0">
        <w:rPr>
          <w:rFonts w:cstheme="minorHAnsi"/>
        </w:rPr>
        <w:t>/</w:t>
      </w:r>
      <w:proofErr w:type="gramEnd"/>
      <w:r w:rsidR="003C009E" w:rsidRPr="004961F0">
        <w:rPr>
          <w:rFonts w:cstheme="minorHAnsi"/>
        </w:rPr>
        <w:t>CO</w:t>
      </w:r>
      <w:r w:rsidR="003C009E" w:rsidRPr="004961F0">
        <w:rPr>
          <w:rFonts w:cstheme="minorHAnsi"/>
          <w:vertAlign w:val="subscript"/>
        </w:rPr>
        <w:t>3</w:t>
      </w:r>
      <w:r w:rsidR="003C009E" w:rsidRPr="004961F0">
        <w:rPr>
          <w:rFonts w:cstheme="minorHAnsi"/>
          <w:vertAlign w:val="superscript"/>
        </w:rPr>
        <w:t>2-</w:t>
      </w:r>
      <w:r w:rsidR="003C009E" w:rsidRPr="004961F0">
        <w:rPr>
          <w:rFonts w:cstheme="minorHAnsi"/>
        </w:rPr>
        <w:t xml:space="preserve"> </w:t>
      </w:r>
      <w:r w:rsidR="003C009E" w:rsidRPr="004961F0">
        <w:rPr>
          <w:rFonts w:cstheme="minorHAnsi"/>
          <w:vertAlign w:val="subscript"/>
        </w:rPr>
        <w:t>(</w:t>
      </w:r>
      <w:proofErr w:type="spellStart"/>
      <w:r w:rsidR="003C009E" w:rsidRPr="004961F0">
        <w:rPr>
          <w:rFonts w:cstheme="minorHAnsi"/>
          <w:vertAlign w:val="subscript"/>
        </w:rPr>
        <w:t>aq</w:t>
      </w:r>
      <w:proofErr w:type="spellEnd"/>
      <w:r w:rsidR="003C009E" w:rsidRPr="004961F0">
        <w:rPr>
          <w:rFonts w:cstheme="minorHAnsi"/>
          <w:vertAlign w:val="subscript"/>
        </w:rPr>
        <w:t>)</w:t>
      </w:r>
      <w:r>
        <w:rPr>
          <w:rFonts w:cstheme="minorHAnsi"/>
          <w:vertAlign w:val="subscript"/>
        </w:rPr>
        <w:tab/>
      </w:r>
      <w:r>
        <w:rPr>
          <w:rFonts w:cstheme="minorHAnsi"/>
          <w:vertAlign w:val="subscript"/>
        </w:rPr>
        <w:tab/>
      </w:r>
      <w:r>
        <w:rPr>
          <w:rFonts w:cstheme="minorHAnsi"/>
        </w:rPr>
        <w:t>Pka2 = 10,4</w:t>
      </w:r>
    </w:p>
    <w:p w:rsidR="003C009E" w:rsidRPr="004961F0" w:rsidRDefault="003C009E" w:rsidP="003C009E">
      <w:pPr>
        <w:spacing w:after="0"/>
        <w:jc w:val="both"/>
        <w:rPr>
          <w:rFonts w:cstheme="minorHAnsi"/>
          <w:b/>
        </w:rPr>
      </w:pPr>
    </w:p>
    <w:p w:rsidR="003C009E" w:rsidRPr="004961F0" w:rsidRDefault="003C009E" w:rsidP="004961F0">
      <w:pPr>
        <w:spacing w:after="0"/>
        <w:jc w:val="both"/>
        <w:rPr>
          <w:rFonts w:cstheme="minorHAnsi"/>
        </w:rPr>
      </w:pPr>
      <w:r w:rsidRPr="004961F0">
        <w:rPr>
          <w:rFonts w:cstheme="minorHAnsi"/>
        </w:rPr>
        <w:t>Masse molaire </w:t>
      </w:r>
      <w:r w:rsidR="004961F0" w:rsidRPr="004961F0">
        <w:rPr>
          <w:rFonts w:cstheme="minorHAnsi"/>
        </w:rPr>
        <w:t>du carbonate de calcium : M(CaCO</w:t>
      </w:r>
      <w:r w:rsidR="004961F0" w:rsidRPr="004961F0">
        <w:rPr>
          <w:rFonts w:cstheme="minorHAnsi"/>
          <w:vertAlign w:val="subscript"/>
        </w:rPr>
        <w:t>3</w:t>
      </w:r>
      <w:r w:rsidR="004961F0" w:rsidRPr="004961F0">
        <w:rPr>
          <w:rFonts w:cstheme="minorHAnsi"/>
        </w:rPr>
        <w:t>) = 100,1 g.mol</w:t>
      </w:r>
      <w:r w:rsidR="004961F0" w:rsidRPr="004961F0">
        <w:rPr>
          <w:rFonts w:cstheme="minorHAnsi"/>
          <w:vertAlign w:val="superscript"/>
        </w:rPr>
        <w:t>-1</w:t>
      </w:r>
    </w:p>
    <w:p w:rsidR="004961F0" w:rsidRDefault="004961F0" w:rsidP="004961F0">
      <w:pPr>
        <w:spacing w:after="0"/>
        <w:jc w:val="both"/>
        <w:rPr>
          <w:rFonts w:ascii="Arial" w:hAnsi="Arial" w:cs="Arial"/>
          <w:b/>
        </w:rPr>
      </w:pPr>
    </w:p>
    <w:p w:rsidR="003953AA" w:rsidRPr="00F95733" w:rsidRDefault="003953AA" w:rsidP="00D46E53">
      <w:pPr>
        <w:spacing w:after="0"/>
        <w:jc w:val="both"/>
        <w:rPr>
          <w:rFonts w:ascii="Arial" w:hAnsi="Arial" w:cs="Arial"/>
          <w:b/>
        </w:rPr>
      </w:pPr>
      <w:r w:rsidRPr="00F95733">
        <w:rPr>
          <w:rFonts w:ascii="Arial" w:hAnsi="Arial" w:cs="Arial"/>
          <w:b/>
        </w:rPr>
        <w:t xml:space="preserve">Document </w:t>
      </w:r>
      <w:r w:rsidR="003C009E">
        <w:rPr>
          <w:rFonts w:ascii="Arial" w:hAnsi="Arial" w:cs="Arial"/>
          <w:b/>
        </w:rPr>
        <w:t>6</w:t>
      </w:r>
      <w:r w:rsidR="00F95733" w:rsidRPr="00F95733">
        <w:rPr>
          <w:rFonts w:ascii="Arial" w:hAnsi="Arial" w:cs="Arial"/>
          <w:b/>
        </w:rPr>
        <w:t> </w:t>
      </w:r>
      <w:r w:rsidRPr="00F95733">
        <w:rPr>
          <w:rFonts w:ascii="Arial" w:hAnsi="Arial" w:cs="Arial"/>
          <w:b/>
        </w:rPr>
        <w:t xml:space="preserve">:  </w:t>
      </w:r>
      <w:r w:rsidR="006B01FB" w:rsidRPr="00F95733">
        <w:rPr>
          <w:rFonts w:ascii="Arial" w:hAnsi="Arial" w:cs="Arial"/>
          <w:b/>
        </w:rPr>
        <w:t>Méthode d’a</w:t>
      </w:r>
      <w:r w:rsidRPr="00F95733">
        <w:rPr>
          <w:rFonts w:ascii="Arial" w:hAnsi="Arial" w:cs="Arial"/>
          <w:b/>
        </w:rPr>
        <w:t>nalyse du gaz émis par l</w:t>
      </w:r>
      <w:r w:rsidR="00A204C5" w:rsidRPr="00F95733">
        <w:rPr>
          <w:rFonts w:ascii="Arial" w:hAnsi="Arial" w:cs="Arial"/>
          <w:b/>
        </w:rPr>
        <w:t>a</w:t>
      </w:r>
      <w:r w:rsidRPr="00F95733">
        <w:rPr>
          <w:rFonts w:ascii="Arial" w:hAnsi="Arial" w:cs="Arial"/>
          <w:b/>
        </w:rPr>
        <w:t xml:space="preserve"> centrale</w:t>
      </w:r>
      <w:r w:rsidR="00A204C5" w:rsidRPr="00F95733">
        <w:rPr>
          <w:rFonts w:ascii="Arial" w:hAnsi="Arial" w:cs="Arial"/>
          <w:b/>
        </w:rPr>
        <w:t xml:space="preserve"> de Lennox</w:t>
      </w:r>
    </w:p>
    <w:p w:rsidR="003953AA" w:rsidRDefault="003953AA" w:rsidP="00D46E53">
      <w:pPr>
        <w:spacing w:after="0"/>
        <w:jc w:val="both"/>
      </w:pPr>
    </w:p>
    <w:p w:rsidR="00D46E53" w:rsidRDefault="00D46E53" w:rsidP="00D46E53">
      <w:pPr>
        <w:spacing w:after="0"/>
        <w:jc w:val="both"/>
      </w:pPr>
      <w:r>
        <w:t xml:space="preserve">Pour </w:t>
      </w:r>
      <w:r w:rsidR="00741268">
        <w:t>savoir si la centrale thermique (exploitant des carburants issus de la combustion du pétrole) dépasse les seuils de qualité concernant le dioxyde de soufre SO</w:t>
      </w:r>
      <w:r w:rsidR="00741268" w:rsidRPr="00A204C5">
        <w:rPr>
          <w:vertAlign w:val="subscript"/>
        </w:rPr>
        <w:t>2</w:t>
      </w:r>
      <w:r>
        <w:t>, on fait barboter 1,0</w:t>
      </w:r>
      <w:r w:rsidR="004454FC">
        <w:t>x10</w:t>
      </w:r>
      <w:r w:rsidR="004454FC" w:rsidRPr="004454FC">
        <w:rPr>
          <w:vertAlign w:val="superscript"/>
        </w:rPr>
        <w:t>4</w:t>
      </w:r>
      <w:r>
        <w:t xml:space="preserve"> m</w:t>
      </w:r>
      <w:r>
        <w:rPr>
          <w:vertAlign w:val="superscript"/>
        </w:rPr>
        <w:t>3</w:t>
      </w:r>
      <w:r>
        <w:t xml:space="preserve"> de gaz émis par la centrale dans 1,0 L d’eau</w:t>
      </w:r>
      <w:r w:rsidR="00F95733">
        <w:t> </w:t>
      </w:r>
      <w:r>
        <w:t xml:space="preserve">: on obtient </w:t>
      </w:r>
      <w:r w:rsidR="00741268">
        <w:t>une</w:t>
      </w:r>
      <w:r>
        <w:t xml:space="preserve"> solution </w:t>
      </w:r>
      <w:r w:rsidR="006B01FB">
        <w:t xml:space="preserve">aqueuse de dioxyde de soufre </w:t>
      </w:r>
      <w:r>
        <w:t>S</w:t>
      </w:r>
      <w:r>
        <w:rPr>
          <w:vertAlign w:val="subscript"/>
        </w:rPr>
        <w:t>0</w:t>
      </w:r>
      <w:r w:rsidRPr="0044174B">
        <w:t xml:space="preserve"> </w:t>
      </w:r>
      <w:r>
        <w:t>que l’on analyse</w:t>
      </w:r>
      <w:r w:rsidR="006B01FB">
        <w:t xml:space="preserve"> pour déterminer sa concentration par titrage</w:t>
      </w:r>
      <w:r w:rsidR="00D57E9A">
        <w:t xml:space="preserve"> avec l’ion permanganate.</w:t>
      </w:r>
    </w:p>
    <w:p w:rsidR="006E2DD9" w:rsidRDefault="006E2DD9" w:rsidP="00D46E53">
      <w:pPr>
        <w:spacing w:after="0"/>
        <w:jc w:val="both"/>
      </w:pPr>
    </w:p>
    <w:p w:rsidR="00D46E53" w:rsidRPr="00424E6D" w:rsidRDefault="00D46E53" w:rsidP="006B01FB">
      <w:pPr>
        <w:spacing w:after="0"/>
        <w:ind w:firstLine="708"/>
        <w:jc w:val="both"/>
        <w:rPr>
          <w:b/>
        </w:rPr>
      </w:pPr>
      <w:r>
        <w:rPr>
          <w:b/>
          <w:u w:val="single"/>
        </w:rPr>
        <w:t>Données</w:t>
      </w:r>
      <w:r w:rsidR="00F95733">
        <w:rPr>
          <w:b/>
        </w:rPr>
        <w:t> </w:t>
      </w:r>
      <w:r>
        <w:rPr>
          <w:b/>
        </w:rPr>
        <w:t>:</w:t>
      </w:r>
    </w:p>
    <w:p w:rsidR="00D46E53" w:rsidRDefault="00D46E53" w:rsidP="006B01FB">
      <w:pPr>
        <w:spacing w:after="0" w:line="240" w:lineRule="auto"/>
        <w:jc w:val="both"/>
      </w:pPr>
      <w: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3145"/>
        <w:gridCol w:w="3145"/>
      </w:tblGrid>
      <w:tr w:rsidR="00D46E53" w:rsidTr="0090165B">
        <w:tc>
          <w:tcPr>
            <w:tcW w:w="3486" w:type="dxa"/>
            <w:shd w:val="clear" w:color="auto" w:fill="auto"/>
            <w:vAlign w:val="center"/>
          </w:tcPr>
          <w:p w:rsidR="00D46E53" w:rsidRPr="003847D9" w:rsidRDefault="00D46E53" w:rsidP="00D46E53">
            <w:pPr>
              <w:spacing w:after="0"/>
              <w:jc w:val="center"/>
              <w:rPr>
                <w:b/>
              </w:rPr>
            </w:pPr>
            <w:r w:rsidRPr="003847D9">
              <w:rPr>
                <w:b/>
              </w:rPr>
              <w:t>Élément</w:t>
            </w:r>
          </w:p>
        </w:tc>
        <w:tc>
          <w:tcPr>
            <w:tcW w:w="3486" w:type="dxa"/>
            <w:shd w:val="clear" w:color="auto" w:fill="auto"/>
            <w:vAlign w:val="center"/>
          </w:tcPr>
          <w:p w:rsidR="00D46E53" w:rsidRPr="003847D9" w:rsidRDefault="00D46E53" w:rsidP="00D46E53">
            <w:pPr>
              <w:spacing w:after="0"/>
              <w:jc w:val="center"/>
              <w:rPr>
                <w:b/>
              </w:rPr>
            </w:pPr>
            <w:r w:rsidRPr="003847D9">
              <w:rPr>
                <w:b/>
              </w:rPr>
              <w:t>S</w:t>
            </w:r>
          </w:p>
        </w:tc>
        <w:tc>
          <w:tcPr>
            <w:tcW w:w="3486" w:type="dxa"/>
            <w:shd w:val="clear" w:color="auto" w:fill="auto"/>
            <w:vAlign w:val="center"/>
          </w:tcPr>
          <w:p w:rsidR="00D46E53" w:rsidRPr="003847D9" w:rsidRDefault="00D46E53" w:rsidP="00D46E53">
            <w:pPr>
              <w:spacing w:after="0"/>
              <w:jc w:val="center"/>
              <w:rPr>
                <w:b/>
              </w:rPr>
            </w:pPr>
            <w:r w:rsidRPr="003847D9">
              <w:rPr>
                <w:b/>
              </w:rPr>
              <w:t>O</w:t>
            </w:r>
          </w:p>
        </w:tc>
      </w:tr>
      <w:tr w:rsidR="00D46E53" w:rsidTr="0090165B">
        <w:tc>
          <w:tcPr>
            <w:tcW w:w="3486" w:type="dxa"/>
            <w:shd w:val="clear" w:color="auto" w:fill="auto"/>
            <w:vAlign w:val="center"/>
          </w:tcPr>
          <w:p w:rsidR="00D46E53" w:rsidRPr="003847D9" w:rsidRDefault="00D46E53" w:rsidP="00D46E53">
            <w:pPr>
              <w:spacing w:after="0"/>
              <w:jc w:val="center"/>
              <w:rPr>
                <w:b/>
              </w:rPr>
            </w:pPr>
            <w:r w:rsidRPr="003847D9">
              <w:rPr>
                <w:b/>
              </w:rPr>
              <w:t>Masse molaire atomique</w:t>
            </w:r>
          </w:p>
        </w:tc>
        <w:tc>
          <w:tcPr>
            <w:tcW w:w="3486" w:type="dxa"/>
            <w:shd w:val="clear" w:color="auto" w:fill="auto"/>
            <w:vAlign w:val="center"/>
          </w:tcPr>
          <w:p w:rsidR="00D46E53" w:rsidRPr="003847D9" w:rsidRDefault="00D46E53" w:rsidP="00D46E53">
            <w:pPr>
              <w:spacing w:after="0"/>
              <w:jc w:val="center"/>
              <w:rPr>
                <w:vertAlign w:val="superscript"/>
              </w:rPr>
            </w:pPr>
            <w:r>
              <w:t>32,1 g.mol</w:t>
            </w:r>
            <w:r w:rsidRPr="003847D9">
              <w:rPr>
                <w:vertAlign w:val="superscript"/>
              </w:rPr>
              <w:t>-1</w:t>
            </w:r>
          </w:p>
        </w:tc>
        <w:tc>
          <w:tcPr>
            <w:tcW w:w="3486" w:type="dxa"/>
            <w:shd w:val="clear" w:color="auto" w:fill="auto"/>
            <w:vAlign w:val="center"/>
          </w:tcPr>
          <w:p w:rsidR="00D46E53" w:rsidRDefault="00D46E53" w:rsidP="00D46E53">
            <w:pPr>
              <w:spacing w:after="0"/>
              <w:jc w:val="center"/>
            </w:pPr>
            <w:r>
              <w:t>16,0 g.mol</w:t>
            </w:r>
            <w:r w:rsidRPr="003847D9">
              <w:rPr>
                <w:vertAlign w:val="superscript"/>
              </w:rPr>
              <w:t>-1</w:t>
            </w:r>
          </w:p>
        </w:tc>
      </w:tr>
    </w:tbl>
    <w:p w:rsidR="00D46E53" w:rsidRDefault="00D46E53" w:rsidP="00D46E53">
      <w:pPr>
        <w:spacing w:after="0"/>
        <w:ind w:left="720"/>
        <w:jc w:val="both"/>
      </w:pPr>
    </w:p>
    <w:p w:rsidR="00D46E53" w:rsidRDefault="00A204C5" w:rsidP="006B01FB">
      <w:pPr>
        <w:spacing w:after="0" w:line="240" w:lineRule="auto"/>
        <w:ind w:left="708"/>
        <w:jc w:val="both"/>
      </w:pPr>
      <w:r>
        <w:t>Le</w:t>
      </w:r>
      <w:r w:rsidR="00D46E53">
        <w:t xml:space="preserve"> dioxyde de soufre a des propriétés réductrices et l’ion permanganate est un puissant oxydant. Ces deux espèces chimiques réagissent ensemble selon la réaction d’équation</w:t>
      </w:r>
      <w:r w:rsidR="00F95733">
        <w:t> </w:t>
      </w:r>
      <w:r w:rsidR="00D46E53">
        <w:t>:</w:t>
      </w:r>
    </w:p>
    <w:p w:rsidR="003953AA" w:rsidRDefault="003953AA" w:rsidP="003953AA">
      <w:pPr>
        <w:spacing w:after="0" w:line="240" w:lineRule="auto"/>
        <w:ind w:left="720"/>
        <w:jc w:val="both"/>
      </w:pPr>
    </w:p>
    <w:p w:rsidR="00D46E53" w:rsidRPr="006B01FB" w:rsidRDefault="00D46E53" w:rsidP="00D46E53">
      <w:pPr>
        <w:spacing w:after="0"/>
        <w:ind w:left="720"/>
        <w:jc w:val="center"/>
        <w:rPr>
          <w:b/>
          <w:sz w:val="28"/>
          <w:szCs w:val="28"/>
          <w:vertAlign w:val="subscript"/>
          <w:lang w:val="en-US"/>
        </w:rPr>
      </w:pPr>
      <w:r w:rsidRPr="006B01FB">
        <w:rPr>
          <w:b/>
          <w:sz w:val="28"/>
          <w:szCs w:val="28"/>
          <w:lang w:val="en-US"/>
        </w:rPr>
        <w:t>2 MnO</w:t>
      </w:r>
      <w:r w:rsidRPr="006B01FB">
        <w:rPr>
          <w:b/>
          <w:sz w:val="28"/>
          <w:szCs w:val="28"/>
          <w:vertAlign w:val="subscript"/>
          <w:lang w:val="en-US"/>
        </w:rPr>
        <w:t>4</w:t>
      </w:r>
      <w:r w:rsidRPr="006B01FB">
        <w:rPr>
          <w:b/>
          <w:sz w:val="28"/>
          <w:szCs w:val="28"/>
          <w:vertAlign w:val="superscript"/>
          <w:lang w:val="en-US"/>
        </w:rPr>
        <w:t>–</w:t>
      </w:r>
      <w:r w:rsidRPr="006B01FB">
        <w:rPr>
          <w:b/>
          <w:sz w:val="28"/>
          <w:szCs w:val="28"/>
          <w:vertAlign w:val="subscript"/>
          <w:lang w:val="en-US"/>
        </w:rPr>
        <w:t>(</w:t>
      </w:r>
      <w:proofErr w:type="spellStart"/>
      <w:proofErr w:type="gramStart"/>
      <w:r w:rsidRPr="006B01FB">
        <w:rPr>
          <w:b/>
          <w:sz w:val="28"/>
          <w:szCs w:val="28"/>
          <w:vertAlign w:val="subscript"/>
          <w:lang w:val="en-US"/>
        </w:rPr>
        <w:t>aq</w:t>
      </w:r>
      <w:proofErr w:type="spellEnd"/>
      <w:r w:rsidRPr="006B01FB">
        <w:rPr>
          <w:b/>
          <w:sz w:val="28"/>
          <w:szCs w:val="28"/>
          <w:vertAlign w:val="subscript"/>
          <w:lang w:val="en-US"/>
        </w:rPr>
        <w:t>)</w:t>
      </w:r>
      <w:r w:rsidRPr="006B01FB">
        <w:rPr>
          <w:b/>
          <w:sz w:val="28"/>
          <w:szCs w:val="28"/>
          <w:lang w:val="en-US"/>
        </w:rPr>
        <w:t xml:space="preserve">  +</w:t>
      </w:r>
      <w:proofErr w:type="gramEnd"/>
      <w:r w:rsidRPr="006B01FB">
        <w:rPr>
          <w:b/>
          <w:sz w:val="28"/>
          <w:szCs w:val="28"/>
          <w:lang w:val="en-US"/>
        </w:rPr>
        <w:t xml:space="preserve">  5 SO</w:t>
      </w:r>
      <w:r w:rsidRPr="006B01FB">
        <w:rPr>
          <w:b/>
          <w:sz w:val="28"/>
          <w:szCs w:val="28"/>
          <w:vertAlign w:val="subscript"/>
          <w:lang w:val="en-US"/>
        </w:rPr>
        <w:t>2(</w:t>
      </w:r>
      <w:proofErr w:type="spellStart"/>
      <w:r w:rsidRPr="006B01FB">
        <w:rPr>
          <w:b/>
          <w:sz w:val="28"/>
          <w:szCs w:val="28"/>
          <w:vertAlign w:val="subscript"/>
          <w:lang w:val="en-US"/>
        </w:rPr>
        <w:t>aq</w:t>
      </w:r>
      <w:proofErr w:type="spellEnd"/>
      <w:r w:rsidRPr="006B01FB">
        <w:rPr>
          <w:b/>
          <w:sz w:val="28"/>
          <w:szCs w:val="28"/>
          <w:vertAlign w:val="subscript"/>
          <w:lang w:val="en-US"/>
        </w:rPr>
        <w:t>)</w:t>
      </w:r>
      <w:r w:rsidRPr="006B01FB">
        <w:rPr>
          <w:b/>
          <w:sz w:val="28"/>
          <w:szCs w:val="28"/>
          <w:lang w:val="en-US"/>
        </w:rPr>
        <w:t xml:space="preserve">  +  2 H</w:t>
      </w:r>
      <w:r w:rsidRPr="006B01FB">
        <w:rPr>
          <w:b/>
          <w:sz w:val="28"/>
          <w:szCs w:val="28"/>
          <w:vertAlign w:val="subscript"/>
          <w:lang w:val="en-US"/>
        </w:rPr>
        <w:t>2</w:t>
      </w:r>
      <w:r w:rsidRPr="006B01FB">
        <w:rPr>
          <w:b/>
          <w:sz w:val="28"/>
          <w:szCs w:val="28"/>
          <w:lang w:val="en-US"/>
        </w:rPr>
        <w:t>O</w:t>
      </w:r>
      <w:r w:rsidRPr="006B01FB">
        <w:rPr>
          <w:b/>
          <w:sz w:val="28"/>
          <w:szCs w:val="28"/>
          <w:vertAlign w:val="subscript"/>
          <w:lang w:val="en-US"/>
        </w:rPr>
        <w:t>(l)</w:t>
      </w:r>
      <w:r w:rsidRPr="006B01FB">
        <w:rPr>
          <w:b/>
          <w:sz w:val="28"/>
          <w:szCs w:val="28"/>
          <w:vertAlign w:val="superscript"/>
          <w:lang w:val="en-US"/>
        </w:rPr>
        <w:t xml:space="preserve">  </w:t>
      </w:r>
      <w:r w:rsidRPr="006B01FB">
        <w:rPr>
          <w:b/>
          <w:sz w:val="28"/>
          <w:szCs w:val="28"/>
          <w:lang w:val="en-US"/>
        </w:rPr>
        <w:sym w:font="Symbol" w:char="F0AE"/>
      </w:r>
      <w:r w:rsidRPr="006B01FB">
        <w:rPr>
          <w:b/>
          <w:sz w:val="28"/>
          <w:szCs w:val="28"/>
          <w:lang w:val="en-US"/>
        </w:rPr>
        <w:t xml:space="preserve">  2 Mn</w:t>
      </w:r>
      <w:r w:rsidRPr="006B01FB">
        <w:rPr>
          <w:b/>
          <w:sz w:val="28"/>
          <w:szCs w:val="28"/>
          <w:vertAlign w:val="superscript"/>
          <w:lang w:val="en-US"/>
        </w:rPr>
        <w:t>2+</w:t>
      </w:r>
      <w:r w:rsidRPr="006B01FB">
        <w:rPr>
          <w:b/>
          <w:sz w:val="28"/>
          <w:szCs w:val="28"/>
          <w:vertAlign w:val="subscript"/>
          <w:lang w:val="en-US"/>
        </w:rPr>
        <w:t>(</w:t>
      </w:r>
      <w:proofErr w:type="spellStart"/>
      <w:r w:rsidRPr="006B01FB">
        <w:rPr>
          <w:b/>
          <w:sz w:val="28"/>
          <w:szCs w:val="28"/>
          <w:vertAlign w:val="subscript"/>
          <w:lang w:val="en-US"/>
        </w:rPr>
        <w:t>aq</w:t>
      </w:r>
      <w:proofErr w:type="spellEnd"/>
      <w:r w:rsidRPr="006B01FB">
        <w:rPr>
          <w:b/>
          <w:sz w:val="28"/>
          <w:szCs w:val="28"/>
          <w:vertAlign w:val="subscript"/>
          <w:lang w:val="en-US"/>
        </w:rPr>
        <w:t>)</w:t>
      </w:r>
      <w:r w:rsidRPr="006B01FB">
        <w:rPr>
          <w:b/>
          <w:sz w:val="28"/>
          <w:szCs w:val="28"/>
          <w:lang w:val="en-US"/>
        </w:rPr>
        <w:t xml:space="preserve">  +  5 SO</w:t>
      </w:r>
      <w:r w:rsidRPr="006B01FB">
        <w:rPr>
          <w:b/>
          <w:sz w:val="28"/>
          <w:szCs w:val="28"/>
          <w:vertAlign w:val="subscript"/>
          <w:lang w:val="en-US"/>
        </w:rPr>
        <w:t>4</w:t>
      </w:r>
      <w:r w:rsidRPr="006B01FB">
        <w:rPr>
          <w:b/>
          <w:sz w:val="28"/>
          <w:szCs w:val="28"/>
          <w:vertAlign w:val="superscript"/>
          <w:lang w:val="en-US"/>
        </w:rPr>
        <w:t>2–</w:t>
      </w:r>
      <w:r w:rsidRPr="006B01FB">
        <w:rPr>
          <w:b/>
          <w:sz w:val="28"/>
          <w:szCs w:val="28"/>
          <w:vertAlign w:val="subscript"/>
          <w:lang w:val="en-US"/>
        </w:rPr>
        <w:t>(</w:t>
      </w:r>
      <w:proofErr w:type="spellStart"/>
      <w:r w:rsidRPr="006B01FB">
        <w:rPr>
          <w:b/>
          <w:sz w:val="28"/>
          <w:szCs w:val="28"/>
          <w:vertAlign w:val="subscript"/>
          <w:lang w:val="en-US"/>
        </w:rPr>
        <w:t>aq</w:t>
      </w:r>
      <w:proofErr w:type="spellEnd"/>
      <w:r w:rsidRPr="006B01FB">
        <w:rPr>
          <w:b/>
          <w:sz w:val="28"/>
          <w:szCs w:val="28"/>
          <w:vertAlign w:val="subscript"/>
          <w:lang w:val="en-US"/>
        </w:rPr>
        <w:t>)</w:t>
      </w:r>
      <w:r w:rsidRPr="006B01FB">
        <w:rPr>
          <w:b/>
          <w:sz w:val="28"/>
          <w:szCs w:val="28"/>
          <w:lang w:val="en-US"/>
        </w:rPr>
        <w:t xml:space="preserve">  + 4  H</w:t>
      </w:r>
      <w:r w:rsidRPr="006B01FB">
        <w:rPr>
          <w:b/>
          <w:sz w:val="28"/>
          <w:szCs w:val="28"/>
          <w:vertAlign w:val="superscript"/>
          <w:lang w:val="en-US"/>
        </w:rPr>
        <w:t>+</w:t>
      </w:r>
      <w:r w:rsidRPr="006B01FB">
        <w:rPr>
          <w:b/>
          <w:sz w:val="28"/>
          <w:szCs w:val="28"/>
          <w:vertAlign w:val="subscript"/>
          <w:lang w:val="en-US"/>
        </w:rPr>
        <w:t>(</w:t>
      </w:r>
      <w:proofErr w:type="spellStart"/>
      <w:r w:rsidRPr="006B01FB">
        <w:rPr>
          <w:b/>
          <w:sz w:val="28"/>
          <w:szCs w:val="28"/>
          <w:vertAlign w:val="subscript"/>
          <w:lang w:val="en-US"/>
        </w:rPr>
        <w:t>aq</w:t>
      </w:r>
      <w:proofErr w:type="spellEnd"/>
      <w:r w:rsidRPr="006B01FB">
        <w:rPr>
          <w:b/>
          <w:sz w:val="28"/>
          <w:szCs w:val="28"/>
          <w:vertAlign w:val="subscript"/>
          <w:lang w:val="en-US"/>
        </w:rPr>
        <w:t>)</w:t>
      </w:r>
    </w:p>
    <w:p w:rsidR="00D46E53" w:rsidRPr="00E828EA" w:rsidRDefault="00D46E53" w:rsidP="00D46E53">
      <w:pPr>
        <w:spacing w:after="0"/>
        <w:rPr>
          <w:lang w:val="en-US"/>
        </w:rPr>
      </w:pPr>
    </w:p>
    <w:p w:rsidR="00D46E53" w:rsidRDefault="00A204C5" w:rsidP="006B01FB">
      <w:pPr>
        <w:spacing w:after="0" w:line="240" w:lineRule="auto"/>
        <w:ind w:firstLine="708"/>
        <w:jc w:val="both"/>
      </w:pPr>
      <w:r>
        <w:t>Couleur</w:t>
      </w:r>
      <w:r w:rsidR="00D46E53">
        <w:t xml:space="preserve"> des solutions aqueuses</w:t>
      </w:r>
      <w:r w:rsidR="00F95733">
        <w:t> </w:t>
      </w:r>
      <w:r w:rsidR="00D46E53">
        <w:t>:</w:t>
      </w:r>
    </w:p>
    <w:p w:rsidR="00D46E53" w:rsidRDefault="00D46E53" w:rsidP="00D46E53">
      <w:pPr>
        <w:spacing w:after="0"/>
        <w:ind w:left="720"/>
        <w:jc w:val="both"/>
      </w:pPr>
    </w:p>
    <w:tbl>
      <w:tblPr>
        <w:tblW w:w="881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954"/>
        <w:gridCol w:w="2090"/>
        <w:gridCol w:w="2052"/>
        <w:gridCol w:w="1276"/>
      </w:tblGrid>
      <w:tr w:rsidR="00D46E53" w:rsidTr="006B01FB">
        <w:tc>
          <w:tcPr>
            <w:tcW w:w="1440" w:type="dxa"/>
            <w:shd w:val="clear" w:color="auto" w:fill="auto"/>
            <w:vAlign w:val="center"/>
          </w:tcPr>
          <w:p w:rsidR="00D46E53" w:rsidRDefault="00D46E53" w:rsidP="00D46E53">
            <w:pPr>
              <w:spacing w:after="0"/>
              <w:jc w:val="center"/>
            </w:pPr>
            <w:r>
              <w:t>Solutions aqueuses</w:t>
            </w:r>
          </w:p>
        </w:tc>
        <w:tc>
          <w:tcPr>
            <w:tcW w:w="1954" w:type="dxa"/>
            <w:shd w:val="clear" w:color="auto" w:fill="auto"/>
            <w:vAlign w:val="center"/>
          </w:tcPr>
          <w:p w:rsidR="00D46E53" w:rsidRPr="00200B87" w:rsidRDefault="00D46E53" w:rsidP="00D46E53">
            <w:pPr>
              <w:spacing w:after="0"/>
              <w:jc w:val="center"/>
            </w:pPr>
            <w:r>
              <w:t>Solution d’acide sulfurique (2H</w:t>
            </w:r>
            <w:r w:rsidRPr="003847D9">
              <w:rPr>
                <w:vertAlign w:val="superscript"/>
              </w:rPr>
              <w:t>+</w:t>
            </w:r>
            <w:r w:rsidRPr="003847D9">
              <w:rPr>
                <w:vertAlign w:val="subscript"/>
              </w:rPr>
              <w:t>(</w:t>
            </w:r>
            <w:proofErr w:type="spellStart"/>
            <w:r w:rsidRPr="003847D9">
              <w:rPr>
                <w:vertAlign w:val="subscript"/>
              </w:rPr>
              <w:t>aq</w:t>
            </w:r>
            <w:proofErr w:type="spellEnd"/>
            <w:r w:rsidRPr="003847D9">
              <w:rPr>
                <w:vertAlign w:val="subscript"/>
              </w:rPr>
              <w:t>)</w:t>
            </w:r>
            <w:r>
              <w:t> + SO</w:t>
            </w:r>
            <w:r w:rsidRPr="003847D9">
              <w:rPr>
                <w:vertAlign w:val="subscript"/>
              </w:rPr>
              <w:t>4</w:t>
            </w:r>
            <w:r w:rsidRPr="003847D9">
              <w:rPr>
                <w:vertAlign w:val="superscript"/>
              </w:rPr>
              <w:t>2</w:t>
            </w:r>
            <w:r>
              <w:rPr>
                <w:vertAlign w:val="superscript"/>
              </w:rPr>
              <w:t>–</w:t>
            </w:r>
            <w:r w:rsidRPr="003847D9">
              <w:rPr>
                <w:vertAlign w:val="subscript"/>
              </w:rPr>
              <w:t>(</w:t>
            </w:r>
            <w:proofErr w:type="spellStart"/>
            <w:r w:rsidRPr="003847D9">
              <w:rPr>
                <w:vertAlign w:val="subscript"/>
              </w:rPr>
              <w:t>aq</w:t>
            </w:r>
            <w:proofErr w:type="spellEnd"/>
            <w:r w:rsidRPr="003847D9">
              <w:rPr>
                <w:vertAlign w:val="subscript"/>
              </w:rPr>
              <w:t>)</w:t>
            </w:r>
            <w:r>
              <w:t>)</w:t>
            </w:r>
          </w:p>
        </w:tc>
        <w:tc>
          <w:tcPr>
            <w:tcW w:w="2090" w:type="dxa"/>
            <w:shd w:val="clear" w:color="auto" w:fill="auto"/>
            <w:vAlign w:val="center"/>
          </w:tcPr>
          <w:p w:rsidR="00D46E53" w:rsidRDefault="00D46E53" w:rsidP="00D46E53">
            <w:pPr>
              <w:spacing w:after="0"/>
              <w:jc w:val="center"/>
            </w:pPr>
            <w:r>
              <w:t>Solution de sulfate de manganèse (Mn</w:t>
            </w:r>
            <w:r w:rsidRPr="003847D9">
              <w:rPr>
                <w:vertAlign w:val="superscript"/>
              </w:rPr>
              <w:t>2+</w:t>
            </w:r>
            <w:r w:rsidRPr="003847D9">
              <w:rPr>
                <w:vertAlign w:val="subscript"/>
              </w:rPr>
              <w:t>(</w:t>
            </w:r>
            <w:proofErr w:type="spellStart"/>
            <w:r w:rsidRPr="003847D9">
              <w:rPr>
                <w:vertAlign w:val="subscript"/>
              </w:rPr>
              <w:t>aq</w:t>
            </w:r>
            <w:proofErr w:type="spellEnd"/>
            <w:r w:rsidRPr="003847D9">
              <w:rPr>
                <w:vertAlign w:val="subscript"/>
              </w:rPr>
              <w:t>)</w:t>
            </w:r>
            <w:r>
              <w:t> + SO</w:t>
            </w:r>
            <w:r w:rsidRPr="003847D9">
              <w:rPr>
                <w:vertAlign w:val="subscript"/>
              </w:rPr>
              <w:t>4</w:t>
            </w:r>
            <w:r w:rsidRPr="003847D9">
              <w:rPr>
                <w:vertAlign w:val="superscript"/>
              </w:rPr>
              <w:t>2</w:t>
            </w:r>
            <w:r>
              <w:rPr>
                <w:vertAlign w:val="superscript"/>
              </w:rPr>
              <w:t>–</w:t>
            </w:r>
            <w:r w:rsidRPr="003847D9">
              <w:rPr>
                <w:vertAlign w:val="subscript"/>
              </w:rPr>
              <w:t>(</w:t>
            </w:r>
            <w:proofErr w:type="spellStart"/>
            <w:r w:rsidRPr="003847D9">
              <w:rPr>
                <w:vertAlign w:val="subscript"/>
              </w:rPr>
              <w:t>aq</w:t>
            </w:r>
            <w:proofErr w:type="spellEnd"/>
            <w:r w:rsidRPr="003847D9">
              <w:rPr>
                <w:vertAlign w:val="subscript"/>
              </w:rPr>
              <w:t>)</w:t>
            </w:r>
            <w:r>
              <w:t>)</w:t>
            </w:r>
          </w:p>
        </w:tc>
        <w:tc>
          <w:tcPr>
            <w:tcW w:w="2052" w:type="dxa"/>
            <w:shd w:val="clear" w:color="auto" w:fill="auto"/>
            <w:vAlign w:val="center"/>
          </w:tcPr>
          <w:p w:rsidR="00D46E53" w:rsidRDefault="00D46E53" w:rsidP="00D46E53">
            <w:pPr>
              <w:spacing w:after="0"/>
              <w:jc w:val="center"/>
            </w:pPr>
            <w:r>
              <w:t xml:space="preserve">Solution de permanganate de </w:t>
            </w:r>
            <w:proofErr w:type="gramStart"/>
            <w:r>
              <w:t>potassium  (</w:t>
            </w:r>
            <w:proofErr w:type="gramEnd"/>
            <w:r>
              <w:t>K</w:t>
            </w:r>
            <w:r w:rsidRPr="003847D9">
              <w:rPr>
                <w:vertAlign w:val="superscript"/>
              </w:rPr>
              <w:t>+</w:t>
            </w:r>
            <w:r w:rsidRPr="003847D9">
              <w:rPr>
                <w:vertAlign w:val="subscript"/>
              </w:rPr>
              <w:t>(</w:t>
            </w:r>
            <w:proofErr w:type="spellStart"/>
            <w:r w:rsidRPr="003847D9">
              <w:rPr>
                <w:vertAlign w:val="subscript"/>
              </w:rPr>
              <w:t>aq</w:t>
            </w:r>
            <w:proofErr w:type="spellEnd"/>
            <w:r w:rsidRPr="003847D9">
              <w:rPr>
                <w:vertAlign w:val="subscript"/>
              </w:rPr>
              <w:t>)</w:t>
            </w:r>
            <w:r>
              <w:t> + MnO</w:t>
            </w:r>
            <w:r w:rsidRPr="003847D9">
              <w:rPr>
                <w:vertAlign w:val="subscript"/>
              </w:rPr>
              <w:t>4</w:t>
            </w:r>
            <w:r>
              <w:rPr>
                <w:vertAlign w:val="superscript"/>
              </w:rPr>
              <w:t>–</w:t>
            </w:r>
            <w:r w:rsidRPr="003847D9">
              <w:rPr>
                <w:vertAlign w:val="subscript"/>
              </w:rPr>
              <w:t>(</w:t>
            </w:r>
            <w:proofErr w:type="spellStart"/>
            <w:r w:rsidRPr="003847D9">
              <w:rPr>
                <w:vertAlign w:val="subscript"/>
              </w:rPr>
              <w:t>aq</w:t>
            </w:r>
            <w:proofErr w:type="spellEnd"/>
            <w:r w:rsidRPr="003847D9">
              <w:rPr>
                <w:vertAlign w:val="subscript"/>
              </w:rPr>
              <w:t>)</w:t>
            </w:r>
            <w:r>
              <w:t>)</w:t>
            </w:r>
          </w:p>
        </w:tc>
        <w:tc>
          <w:tcPr>
            <w:tcW w:w="1276" w:type="dxa"/>
            <w:shd w:val="clear" w:color="auto" w:fill="auto"/>
            <w:vAlign w:val="center"/>
          </w:tcPr>
          <w:p w:rsidR="00D46E53" w:rsidRPr="003847D9" w:rsidRDefault="00D46E53" w:rsidP="00D46E53">
            <w:pPr>
              <w:spacing w:after="0"/>
              <w:jc w:val="center"/>
              <w:rPr>
                <w:vertAlign w:val="subscript"/>
              </w:rPr>
            </w:pPr>
            <w:r>
              <w:t>Solution de dioxyde de soufre SO</w:t>
            </w:r>
            <w:r w:rsidRPr="003847D9">
              <w:rPr>
                <w:vertAlign w:val="subscript"/>
              </w:rPr>
              <w:t>2(</w:t>
            </w:r>
            <w:proofErr w:type="spellStart"/>
            <w:r w:rsidRPr="003847D9">
              <w:rPr>
                <w:vertAlign w:val="subscript"/>
              </w:rPr>
              <w:t>aq</w:t>
            </w:r>
            <w:proofErr w:type="spellEnd"/>
            <w:r w:rsidRPr="003847D9">
              <w:rPr>
                <w:vertAlign w:val="subscript"/>
              </w:rPr>
              <w:t>)</w:t>
            </w:r>
          </w:p>
        </w:tc>
      </w:tr>
      <w:tr w:rsidR="00D46E53" w:rsidTr="006B01FB">
        <w:tc>
          <w:tcPr>
            <w:tcW w:w="1440" w:type="dxa"/>
            <w:shd w:val="clear" w:color="auto" w:fill="auto"/>
            <w:vAlign w:val="center"/>
          </w:tcPr>
          <w:p w:rsidR="00D46E53" w:rsidRDefault="00D46E53" w:rsidP="00D46E53">
            <w:pPr>
              <w:spacing w:after="0"/>
              <w:jc w:val="center"/>
            </w:pPr>
            <w:proofErr w:type="gramStart"/>
            <w:r>
              <w:t>couleurs</w:t>
            </w:r>
            <w:proofErr w:type="gramEnd"/>
            <w:r>
              <w:t xml:space="preserve"> des solutions aqueuses</w:t>
            </w:r>
          </w:p>
        </w:tc>
        <w:tc>
          <w:tcPr>
            <w:tcW w:w="1954" w:type="dxa"/>
            <w:shd w:val="clear" w:color="auto" w:fill="auto"/>
            <w:vAlign w:val="center"/>
          </w:tcPr>
          <w:p w:rsidR="00D46E53" w:rsidRDefault="00D46E53" w:rsidP="00D46E53">
            <w:pPr>
              <w:spacing w:after="0"/>
              <w:jc w:val="center"/>
            </w:pPr>
            <w:proofErr w:type="gramStart"/>
            <w:r>
              <w:t>incolore</w:t>
            </w:r>
            <w:proofErr w:type="gramEnd"/>
          </w:p>
        </w:tc>
        <w:tc>
          <w:tcPr>
            <w:tcW w:w="2090" w:type="dxa"/>
            <w:shd w:val="clear" w:color="auto" w:fill="auto"/>
            <w:vAlign w:val="center"/>
          </w:tcPr>
          <w:p w:rsidR="00D46E53" w:rsidRDefault="00D46E53" w:rsidP="00D46E53">
            <w:pPr>
              <w:spacing w:after="0"/>
              <w:jc w:val="center"/>
            </w:pPr>
            <w:proofErr w:type="gramStart"/>
            <w:r>
              <w:t>incolore</w:t>
            </w:r>
            <w:proofErr w:type="gramEnd"/>
          </w:p>
        </w:tc>
        <w:tc>
          <w:tcPr>
            <w:tcW w:w="2052" w:type="dxa"/>
            <w:shd w:val="clear" w:color="auto" w:fill="auto"/>
            <w:vAlign w:val="center"/>
          </w:tcPr>
          <w:p w:rsidR="00D46E53" w:rsidRDefault="00D46E53" w:rsidP="00D46E53">
            <w:pPr>
              <w:spacing w:after="0"/>
              <w:jc w:val="center"/>
            </w:pPr>
            <w:proofErr w:type="gramStart"/>
            <w:r>
              <w:t>violet</w:t>
            </w:r>
            <w:proofErr w:type="gramEnd"/>
          </w:p>
        </w:tc>
        <w:tc>
          <w:tcPr>
            <w:tcW w:w="1276" w:type="dxa"/>
            <w:shd w:val="clear" w:color="auto" w:fill="auto"/>
            <w:vAlign w:val="center"/>
          </w:tcPr>
          <w:p w:rsidR="00D46E53" w:rsidRDefault="00D46E53" w:rsidP="00D46E53">
            <w:pPr>
              <w:spacing w:after="0"/>
              <w:jc w:val="center"/>
            </w:pPr>
            <w:proofErr w:type="gramStart"/>
            <w:r>
              <w:t>incolore</w:t>
            </w:r>
            <w:proofErr w:type="gramEnd"/>
          </w:p>
        </w:tc>
      </w:tr>
    </w:tbl>
    <w:p w:rsidR="00D46E53" w:rsidRDefault="00D46E53" w:rsidP="00D46E53">
      <w:pPr>
        <w:spacing w:after="0"/>
        <w:jc w:val="both"/>
      </w:pPr>
    </w:p>
    <w:p w:rsidR="00D46E53" w:rsidRDefault="00D46E53" w:rsidP="00D46E53">
      <w:pPr>
        <w:spacing w:after="0"/>
        <w:jc w:val="both"/>
        <w:rPr>
          <w:noProof/>
        </w:rPr>
      </w:pPr>
    </w:p>
    <w:p w:rsidR="00D46E53" w:rsidRPr="00F95733" w:rsidRDefault="00D46E53" w:rsidP="00D46E53">
      <w:pPr>
        <w:spacing w:after="0"/>
        <w:jc w:val="both"/>
        <w:rPr>
          <w:rFonts w:ascii="Arial" w:hAnsi="Arial" w:cs="Arial"/>
          <w:b/>
        </w:rPr>
      </w:pPr>
      <w:r w:rsidRPr="00F95733">
        <w:rPr>
          <w:rFonts w:ascii="Arial" w:hAnsi="Arial" w:cs="Arial"/>
          <w:b/>
        </w:rPr>
        <w:t>Document</w:t>
      </w:r>
      <w:r w:rsidR="00A204C5" w:rsidRPr="00F95733">
        <w:rPr>
          <w:rFonts w:ascii="Arial" w:hAnsi="Arial" w:cs="Arial"/>
          <w:b/>
        </w:rPr>
        <w:t xml:space="preserve"> </w:t>
      </w:r>
      <w:r w:rsidR="003C009E">
        <w:rPr>
          <w:rFonts w:ascii="Arial" w:hAnsi="Arial" w:cs="Arial"/>
          <w:b/>
        </w:rPr>
        <w:t>7</w:t>
      </w:r>
      <w:r w:rsidR="00F95733" w:rsidRPr="00F95733">
        <w:rPr>
          <w:rFonts w:ascii="Arial" w:hAnsi="Arial" w:cs="Arial"/>
          <w:b/>
        </w:rPr>
        <w:t> </w:t>
      </w:r>
      <w:r w:rsidRPr="00F95733">
        <w:rPr>
          <w:rFonts w:ascii="Arial" w:hAnsi="Arial" w:cs="Arial"/>
          <w:b/>
        </w:rPr>
        <w:t>: Normes de qualité de l’air relatives au dioxyde de soufre (SO</w:t>
      </w:r>
      <w:r w:rsidRPr="00F95733">
        <w:rPr>
          <w:rFonts w:ascii="Arial" w:hAnsi="Arial" w:cs="Arial"/>
          <w:b/>
          <w:vertAlign w:val="subscript"/>
        </w:rPr>
        <w:t>2</w:t>
      </w:r>
      <w:r w:rsidRPr="00F95733">
        <w:rPr>
          <w:rFonts w:ascii="Arial" w:hAnsi="Arial" w:cs="Arial"/>
          <w:b/>
        </w:rPr>
        <w:t>) </w:t>
      </w:r>
      <w:r w:rsidR="00F76221" w:rsidRPr="00F95733">
        <w:rPr>
          <w:rFonts w:ascii="Arial" w:hAnsi="Arial" w:cs="Arial"/>
          <w:b/>
        </w:rPr>
        <w:t xml:space="preserve">au </w:t>
      </w:r>
      <w:r w:rsidR="00527BF0" w:rsidRPr="00F95733">
        <w:rPr>
          <w:rFonts w:ascii="Arial" w:hAnsi="Arial" w:cs="Arial"/>
          <w:b/>
        </w:rPr>
        <w:t>C</w:t>
      </w:r>
      <w:r w:rsidR="00F76221" w:rsidRPr="00F95733">
        <w:rPr>
          <w:rFonts w:ascii="Arial" w:hAnsi="Arial" w:cs="Arial"/>
          <w:b/>
        </w:rPr>
        <w:t>anada</w:t>
      </w:r>
    </w:p>
    <w:p w:rsidR="00D46E53" w:rsidRPr="00200B87" w:rsidRDefault="00D46E53" w:rsidP="00D46E53">
      <w:pPr>
        <w:spacing w:after="0"/>
        <w:jc w:val="both"/>
      </w:pPr>
    </w:p>
    <w:p w:rsidR="00D46E53" w:rsidRDefault="00F76221" w:rsidP="00527BF0">
      <w:pPr>
        <w:spacing w:after="0"/>
        <w:ind w:left="708"/>
        <w:jc w:val="both"/>
      </w:pPr>
      <w:r>
        <w:t xml:space="preserve">Les NCQAA (Normes canadiennes de qualité de l’air ambiant), prévoient </w:t>
      </w:r>
      <w:r w:rsidRPr="00527BF0">
        <w:rPr>
          <w:b/>
        </w:rPr>
        <w:t>pour l’année 2020</w:t>
      </w:r>
      <w:r>
        <w:t xml:space="preserve"> les conduites à adopter en fonction des concentrations maximales </w:t>
      </w:r>
      <w:r w:rsidR="00527BF0">
        <w:t>de SO</w:t>
      </w:r>
      <w:r w:rsidR="00527BF0" w:rsidRPr="00527BF0">
        <w:rPr>
          <w:vertAlign w:val="subscript"/>
        </w:rPr>
        <w:t>2</w:t>
      </w:r>
      <w:r w:rsidR="00527BF0">
        <w:t xml:space="preserve"> dans l’air</w:t>
      </w:r>
      <w:r>
        <w:t xml:space="preserve"> selon le tableau suivant</w:t>
      </w:r>
      <w:r w:rsidR="00F95733">
        <w:t> </w:t>
      </w:r>
      <w:r>
        <w:t>:</w:t>
      </w:r>
    </w:p>
    <w:p w:rsidR="00D46E53" w:rsidRDefault="00D46E53" w:rsidP="00D46E53">
      <w:pPr>
        <w:spacing w:after="0"/>
        <w:jc w:val="both"/>
        <w:rPr>
          <w:i/>
        </w:rPr>
      </w:pPr>
    </w:p>
    <w:tbl>
      <w:tblPr>
        <w:tblStyle w:val="Grilledutableau"/>
        <w:tblW w:w="10343" w:type="dxa"/>
        <w:tblLook w:val="04A0" w:firstRow="1" w:lastRow="0" w:firstColumn="1" w:lastColumn="0" w:noHBand="0" w:noVBand="1"/>
      </w:tblPr>
      <w:tblGrid>
        <w:gridCol w:w="5382"/>
        <w:gridCol w:w="4961"/>
      </w:tblGrid>
      <w:tr w:rsidR="00F76221" w:rsidTr="004961F0">
        <w:tc>
          <w:tcPr>
            <w:tcW w:w="5382" w:type="dxa"/>
          </w:tcPr>
          <w:p w:rsidR="00F76221" w:rsidRDefault="00F76221" w:rsidP="00D46E53"/>
        </w:tc>
        <w:tc>
          <w:tcPr>
            <w:tcW w:w="4961" w:type="dxa"/>
          </w:tcPr>
          <w:p w:rsidR="00F76221" w:rsidRDefault="00F76221" w:rsidP="00D46E53">
            <w:r>
              <w:t>Plage de concentrations de polluants de l’air ambiant</w:t>
            </w:r>
          </w:p>
        </w:tc>
      </w:tr>
      <w:tr w:rsidR="00527BF0" w:rsidTr="004961F0">
        <w:tc>
          <w:tcPr>
            <w:tcW w:w="5382" w:type="dxa"/>
          </w:tcPr>
          <w:p w:rsidR="00527BF0" w:rsidRDefault="00527BF0" w:rsidP="00D46E53">
            <w:r>
              <w:t>Niveaux et objectifs pour la gestion de la qualité de l’air</w:t>
            </w:r>
          </w:p>
        </w:tc>
        <w:tc>
          <w:tcPr>
            <w:tcW w:w="4961" w:type="dxa"/>
          </w:tcPr>
          <w:p w:rsidR="00527BF0" w:rsidRDefault="00527BF0" w:rsidP="00D46E53">
            <w:r>
              <w:t>Concentration de SO</w:t>
            </w:r>
            <w:r w:rsidRPr="00F76221">
              <w:rPr>
                <w:vertAlign w:val="subscript"/>
              </w:rPr>
              <w:t>2</w:t>
            </w:r>
            <w:r>
              <w:t xml:space="preserve"> sur 1 heure en </w:t>
            </w:r>
            <w:r>
              <w:rPr>
                <w:rFonts w:cstheme="minorHAnsi"/>
              </w:rPr>
              <w:t>µ</w:t>
            </w:r>
            <w:r>
              <w:t>g.m</w:t>
            </w:r>
            <w:r w:rsidRPr="00F76221">
              <w:rPr>
                <w:vertAlign w:val="superscript"/>
              </w:rPr>
              <w:t>-3</w:t>
            </w:r>
          </w:p>
        </w:tc>
      </w:tr>
      <w:tr w:rsidR="00527BF0" w:rsidTr="004961F0">
        <w:tc>
          <w:tcPr>
            <w:tcW w:w="5382" w:type="dxa"/>
          </w:tcPr>
          <w:p w:rsidR="00527BF0" w:rsidRPr="00527BF0" w:rsidRDefault="00527BF0" w:rsidP="00D46E53">
            <w:pPr>
              <w:rPr>
                <w:b/>
              </w:rPr>
            </w:pPr>
            <w:r w:rsidRPr="00527BF0">
              <w:rPr>
                <w:b/>
              </w:rPr>
              <w:t>Rouge </w:t>
            </w:r>
          </w:p>
          <w:p w:rsidR="00527BF0" w:rsidRDefault="00527BF0" w:rsidP="00D46E53">
            <w:r>
              <w:t>Réduire les concentrations de polluants dans l’air ambient en deçà des NCQAA</w:t>
            </w:r>
          </w:p>
        </w:tc>
        <w:tc>
          <w:tcPr>
            <w:tcW w:w="4961" w:type="dxa"/>
          </w:tcPr>
          <w:p w:rsidR="00527BF0" w:rsidRDefault="00527BF0" w:rsidP="00D46E53">
            <w:r>
              <w:t>&gt; 187</w:t>
            </w:r>
          </w:p>
        </w:tc>
      </w:tr>
      <w:tr w:rsidR="00527BF0" w:rsidTr="004961F0">
        <w:tc>
          <w:tcPr>
            <w:tcW w:w="5382" w:type="dxa"/>
          </w:tcPr>
          <w:p w:rsidR="00527BF0" w:rsidRPr="00527BF0" w:rsidRDefault="00527BF0" w:rsidP="00D46E53">
            <w:pPr>
              <w:rPr>
                <w:b/>
              </w:rPr>
            </w:pPr>
            <w:r w:rsidRPr="00527BF0">
              <w:rPr>
                <w:b/>
              </w:rPr>
              <w:t>Orange</w:t>
            </w:r>
          </w:p>
          <w:p w:rsidR="00527BF0" w:rsidRDefault="00527BF0" w:rsidP="00D46E53">
            <w:r>
              <w:t>Eviter le dépassement des NCQAA</w:t>
            </w:r>
          </w:p>
        </w:tc>
        <w:tc>
          <w:tcPr>
            <w:tcW w:w="4961" w:type="dxa"/>
          </w:tcPr>
          <w:p w:rsidR="00527BF0" w:rsidRDefault="00527BF0" w:rsidP="00D46E53">
            <w:r>
              <w:t>Entre 133 et 187</w:t>
            </w:r>
          </w:p>
        </w:tc>
      </w:tr>
      <w:tr w:rsidR="00527BF0" w:rsidTr="004961F0">
        <w:tc>
          <w:tcPr>
            <w:tcW w:w="5382" w:type="dxa"/>
          </w:tcPr>
          <w:p w:rsidR="00527BF0" w:rsidRPr="00527BF0" w:rsidRDefault="00527BF0" w:rsidP="00D46E53">
            <w:pPr>
              <w:rPr>
                <w:b/>
              </w:rPr>
            </w:pPr>
            <w:r w:rsidRPr="00527BF0">
              <w:rPr>
                <w:b/>
              </w:rPr>
              <w:t>Jaune</w:t>
            </w:r>
          </w:p>
          <w:p w:rsidR="00527BF0" w:rsidRDefault="00527BF0" w:rsidP="00D46E53">
            <w:r>
              <w:t>Prévenir la détérioration de la qualité de l’air</w:t>
            </w:r>
          </w:p>
        </w:tc>
        <w:tc>
          <w:tcPr>
            <w:tcW w:w="4961" w:type="dxa"/>
          </w:tcPr>
          <w:p w:rsidR="00527BF0" w:rsidRDefault="00527BF0" w:rsidP="00D46E53">
            <w:r>
              <w:t>Entre 80 et 133</w:t>
            </w:r>
          </w:p>
        </w:tc>
      </w:tr>
      <w:tr w:rsidR="00527BF0" w:rsidTr="004961F0">
        <w:tc>
          <w:tcPr>
            <w:tcW w:w="5382" w:type="dxa"/>
          </w:tcPr>
          <w:p w:rsidR="00527BF0" w:rsidRPr="00527BF0" w:rsidRDefault="00527BF0" w:rsidP="00D46E53">
            <w:pPr>
              <w:rPr>
                <w:b/>
              </w:rPr>
            </w:pPr>
            <w:r w:rsidRPr="00527BF0">
              <w:rPr>
                <w:b/>
              </w:rPr>
              <w:t>Vert</w:t>
            </w:r>
          </w:p>
          <w:p w:rsidR="00527BF0" w:rsidRDefault="00527BF0" w:rsidP="00D46E53">
            <w:r>
              <w:t>Protéger la qualité de l’air dans les régions non polluées</w:t>
            </w:r>
          </w:p>
        </w:tc>
        <w:tc>
          <w:tcPr>
            <w:tcW w:w="4961" w:type="dxa"/>
          </w:tcPr>
          <w:p w:rsidR="00527BF0" w:rsidRDefault="00527BF0" w:rsidP="00D46E53">
            <w:r>
              <w:t>Inférieur ou égal à 80</w:t>
            </w:r>
          </w:p>
        </w:tc>
      </w:tr>
    </w:tbl>
    <w:p w:rsidR="00697552" w:rsidRDefault="00697552" w:rsidP="00D46E53">
      <w:pPr>
        <w:spacing w:after="0"/>
      </w:pPr>
    </w:p>
    <w:p w:rsidR="00527BF0" w:rsidRPr="00527BF0" w:rsidRDefault="00527BF0" w:rsidP="00D46E53">
      <w:pPr>
        <w:spacing w:after="0"/>
        <w:rPr>
          <w:i/>
        </w:rPr>
      </w:pPr>
      <w:r w:rsidRPr="00527BF0">
        <w:rPr>
          <w:i/>
        </w:rPr>
        <w:t>D’après https://www.ccme.ca/fr/resources/air/air/sulphur-dioxide.html</w:t>
      </w:r>
    </w:p>
    <w:p w:rsidR="00697552" w:rsidRDefault="00697552" w:rsidP="00D46E53">
      <w:pPr>
        <w:spacing w:after="0"/>
        <w:rPr>
          <w:noProof/>
        </w:rPr>
      </w:pPr>
    </w:p>
    <w:p w:rsidR="005147CE" w:rsidRPr="004961F0" w:rsidRDefault="004961F0" w:rsidP="00D46E53">
      <w:pPr>
        <w:spacing w:after="0"/>
        <w:rPr>
          <w:rFonts w:ascii="Arial" w:hAnsi="Arial" w:cs="Arial"/>
          <w:b/>
          <w:noProof/>
          <w:sz w:val="24"/>
          <w:szCs w:val="24"/>
        </w:rPr>
      </w:pPr>
      <w:r w:rsidRPr="004961F0">
        <w:rPr>
          <w:rFonts w:ascii="Arial" w:hAnsi="Arial" w:cs="Arial"/>
          <w:b/>
          <w:noProof/>
          <w:sz w:val="24"/>
          <w:szCs w:val="24"/>
        </w:rPr>
        <w:t>Travail à effectuer :</w:t>
      </w:r>
    </w:p>
    <w:p w:rsidR="004961F0" w:rsidRPr="004961F0" w:rsidRDefault="004961F0" w:rsidP="004961F0">
      <w:pPr>
        <w:spacing w:after="0"/>
        <w:rPr>
          <w:rFonts w:ascii="Arial" w:hAnsi="Arial" w:cs="Arial"/>
          <w:noProof/>
        </w:rPr>
      </w:pPr>
    </w:p>
    <w:p w:rsidR="004961F0" w:rsidRPr="004454FC" w:rsidRDefault="004961F0" w:rsidP="004961F0">
      <w:pPr>
        <w:spacing w:after="0"/>
        <w:rPr>
          <w:rFonts w:ascii="Comic Sans MS" w:hAnsi="Comic Sans MS" w:cs="Arial"/>
          <w:b/>
          <w:noProof/>
        </w:rPr>
      </w:pPr>
      <w:r w:rsidRPr="004454FC">
        <w:rPr>
          <w:rFonts w:ascii="Comic Sans MS" w:hAnsi="Comic Sans MS" w:cs="Arial"/>
          <w:b/>
          <w:noProof/>
        </w:rPr>
        <w:t>Partie 1 : Chaulage du lac </w:t>
      </w:r>
    </w:p>
    <w:p w:rsidR="004961F0" w:rsidRPr="004961F0" w:rsidRDefault="004961F0" w:rsidP="004961F0">
      <w:pPr>
        <w:spacing w:after="0"/>
        <w:rPr>
          <w:rFonts w:ascii="Arial" w:hAnsi="Arial" w:cs="Arial"/>
          <w:noProof/>
        </w:rPr>
      </w:pPr>
    </w:p>
    <w:p w:rsidR="004961F0" w:rsidRPr="004961F0" w:rsidRDefault="004961F0" w:rsidP="004961F0">
      <w:pPr>
        <w:spacing w:after="0"/>
        <w:rPr>
          <w:rFonts w:ascii="Arial" w:hAnsi="Arial" w:cs="Arial"/>
          <w:b/>
          <w:noProof/>
        </w:rPr>
      </w:pPr>
      <w:r w:rsidRPr="004961F0">
        <w:rPr>
          <w:rFonts w:ascii="Arial" w:hAnsi="Arial" w:cs="Arial"/>
          <w:b/>
          <w:noProof/>
        </w:rPr>
        <w:t>Questions préliminaires</w:t>
      </w:r>
    </w:p>
    <w:p w:rsidR="004961F0" w:rsidRPr="004961F0" w:rsidRDefault="004961F0" w:rsidP="004961F0">
      <w:pPr>
        <w:spacing w:after="0"/>
        <w:rPr>
          <w:rFonts w:ascii="Arial" w:hAnsi="Arial" w:cs="Arial"/>
          <w:noProof/>
        </w:rPr>
      </w:pPr>
    </w:p>
    <w:p w:rsidR="00462A49" w:rsidRPr="00462A49" w:rsidRDefault="00462A49" w:rsidP="00462A49">
      <w:pPr>
        <w:pStyle w:val="Paragraphedeliste"/>
        <w:ind w:left="705" w:hanging="705"/>
        <w:rPr>
          <w:rFonts w:ascii="Arial" w:hAnsi="Arial" w:cs="Arial"/>
          <w:noProof/>
        </w:rPr>
      </w:pPr>
      <w:r w:rsidRPr="00462A49">
        <w:rPr>
          <w:rFonts w:ascii="Arial" w:hAnsi="Arial" w:cs="Arial"/>
          <w:noProof/>
        </w:rPr>
        <w:t xml:space="preserve">1) </w:t>
      </w:r>
      <w:r>
        <w:rPr>
          <w:rFonts w:ascii="Arial" w:hAnsi="Arial" w:cs="Arial"/>
          <w:noProof/>
        </w:rPr>
        <w:tab/>
      </w:r>
      <w:r w:rsidRPr="00462A49">
        <w:rPr>
          <w:rFonts w:ascii="Arial" w:hAnsi="Arial" w:cs="Arial"/>
          <w:noProof/>
        </w:rPr>
        <w:t>A l’aide des données, faire le diagramme de prédominance pour les couples CO</w:t>
      </w:r>
      <w:r w:rsidRPr="00462A49">
        <w:rPr>
          <w:rFonts w:ascii="Arial" w:hAnsi="Arial" w:cs="Arial"/>
          <w:noProof/>
          <w:vertAlign w:val="subscript"/>
        </w:rPr>
        <w:t>2</w:t>
      </w:r>
      <w:r w:rsidRPr="00462A49">
        <w:rPr>
          <w:rFonts w:ascii="Arial" w:hAnsi="Arial" w:cs="Arial"/>
          <w:noProof/>
        </w:rPr>
        <w:t>,H</w:t>
      </w:r>
      <w:r w:rsidRPr="00462A49">
        <w:rPr>
          <w:rFonts w:ascii="Arial" w:hAnsi="Arial" w:cs="Arial"/>
          <w:noProof/>
          <w:vertAlign w:val="subscript"/>
        </w:rPr>
        <w:t>2</w:t>
      </w:r>
      <w:r w:rsidRPr="00462A49">
        <w:rPr>
          <w:rFonts w:ascii="Arial" w:hAnsi="Arial" w:cs="Arial"/>
          <w:noProof/>
        </w:rPr>
        <w:t>O/HCO</w:t>
      </w:r>
      <w:r w:rsidRPr="00462A49">
        <w:rPr>
          <w:rFonts w:ascii="Arial" w:hAnsi="Arial" w:cs="Arial"/>
          <w:noProof/>
          <w:vertAlign w:val="subscript"/>
        </w:rPr>
        <w:t>3</w:t>
      </w:r>
      <w:r w:rsidRPr="00462A49">
        <w:rPr>
          <w:rFonts w:ascii="Arial" w:hAnsi="Arial" w:cs="Arial"/>
          <w:noProof/>
          <w:vertAlign w:val="superscript"/>
        </w:rPr>
        <w:t>-</w:t>
      </w:r>
      <w:r w:rsidRPr="00462A49">
        <w:rPr>
          <w:rFonts w:ascii="Arial" w:hAnsi="Arial" w:cs="Arial"/>
          <w:noProof/>
        </w:rPr>
        <w:t xml:space="preserve"> et HCO</w:t>
      </w:r>
      <w:r w:rsidRPr="00462A49">
        <w:rPr>
          <w:rFonts w:ascii="Arial" w:hAnsi="Arial" w:cs="Arial"/>
          <w:noProof/>
          <w:vertAlign w:val="subscript"/>
        </w:rPr>
        <w:t>3</w:t>
      </w:r>
      <w:r w:rsidRPr="00462A49">
        <w:rPr>
          <w:rFonts w:ascii="Arial" w:hAnsi="Arial" w:cs="Arial"/>
          <w:noProof/>
          <w:vertAlign w:val="superscript"/>
        </w:rPr>
        <w:t>-</w:t>
      </w:r>
      <w:r w:rsidRPr="00462A49">
        <w:rPr>
          <w:rFonts w:ascii="Arial" w:hAnsi="Arial" w:cs="Arial"/>
          <w:noProof/>
        </w:rPr>
        <w:t>/CO</w:t>
      </w:r>
      <w:r w:rsidRPr="00462A49">
        <w:rPr>
          <w:rFonts w:ascii="Arial" w:hAnsi="Arial" w:cs="Arial"/>
          <w:noProof/>
          <w:vertAlign w:val="subscript"/>
        </w:rPr>
        <w:t>3</w:t>
      </w:r>
      <w:r w:rsidRPr="00462A49">
        <w:rPr>
          <w:rFonts w:ascii="Arial" w:hAnsi="Arial" w:cs="Arial"/>
          <w:noProof/>
          <w:vertAlign w:val="superscript"/>
        </w:rPr>
        <w:t>2-</w:t>
      </w:r>
      <w:r w:rsidRPr="00462A49">
        <w:rPr>
          <w:rFonts w:ascii="Arial" w:hAnsi="Arial" w:cs="Arial"/>
          <w:noProof/>
        </w:rPr>
        <w:t>, en déduire l’espèce prédominante au pH initial du lac des hauteurs, puis écrire l’équation de réaction entre les ions carbonate CO</w:t>
      </w:r>
      <w:r w:rsidRPr="00462A49">
        <w:rPr>
          <w:rFonts w:ascii="Arial" w:hAnsi="Arial" w:cs="Arial"/>
          <w:noProof/>
          <w:vertAlign w:val="subscript"/>
        </w:rPr>
        <w:t>3</w:t>
      </w:r>
      <w:r w:rsidRPr="00462A49">
        <w:rPr>
          <w:rFonts w:ascii="Arial" w:hAnsi="Arial" w:cs="Arial"/>
          <w:noProof/>
          <w:vertAlign w:val="superscript"/>
        </w:rPr>
        <w:t>2-</w:t>
      </w:r>
      <w:r w:rsidRPr="00462A49">
        <w:rPr>
          <w:rFonts w:ascii="Arial" w:hAnsi="Arial" w:cs="Arial"/>
          <w:noProof/>
        </w:rPr>
        <w:t xml:space="preserve"> apportés grâce au chaulage et les ions oxonium présents dans le lac.</w:t>
      </w:r>
    </w:p>
    <w:p w:rsidR="00462A49" w:rsidRPr="00462A49" w:rsidRDefault="00462A49" w:rsidP="00462A49">
      <w:pPr>
        <w:pStyle w:val="Paragraphedeliste"/>
        <w:rPr>
          <w:rFonts w:ascii="Arial" w:hAnsi="Arial" w:cs="Arial"/>
          <w:noProof/>
        </w:rPr>
      </w:pPr>
      <w:r w:rsidRPr="00462A49">
        <w:rPr>
          <w:rFonts w:ascii="Arial" w:hAnsi="Arial" w:cs="Arial"/>
          <w:noProof/>
        </w:rPr>
        <w:t> </w:t>
      </w:r>
    </w:p>
    <w:p w:rsidR="00462A49" w:rsidRPr="00462A49" w:rsidRDefault="00462A49" w:rsidP="00462A49">
      <w:pPr>
        <w:pStyle w:val="Paragraphedeliste"/>
        <w:ind w:left="705" w:hanging="705"/>
        <w:rPr>
          <w:rFonts w:ascii="Arial" w:hAnsi="Arial" w:cs="Arial"/>
          <w:i/>
          <w:noProof/>
        </w:rPr>
      </w:pPr>
      <w:r w:rsidRPr="00462A49">
        <w:rPr>
          <w:rFonts w:ascii="Arial" w:hAnsi="Arial" w:cs="Arial"/>
          <w:noProof/>
        </w:rPr>
        <w:t xml:space="preserve">2) </w:t>
      </w:r>
      <w:r>
        <w:rPr>
          <w:rFonts w:ascii="Arial" w:hAnsi="Arial" w:cs="Arial"/>
          <w:noProof/>
        </w:rPr>
        <w:tab/>
      </w:r>
      <w:r w:rsidRPr="00462A49">
        <w:rPr>
          <w:rFonts w:ascii="Arial" w:hAnsi="Arial" w:cs="Arial"/>
          <w:i/>
          <w:noProof/>
        </w:rPr>
        <w:t xml:space="preserve">L’étudiant dispose d’une solution acide au laboratoire, dont il souhaite augmenter le pH d’une unité à l’aide de carbonate de calcium solide. </w:t>
      </w:r>
    </w:p>
    <w:p w:rsidR="00462A49" w:rsidRPr="00462A49" w:rsidRDefault="00462A49" w:rsidP="00462A49">
      <w:pPr>
        <w:pStyle w:val="Paragraphedeliste"/>
        <w:rPr>
          <w:rFonts w:ascii="Arial" w:hAnsi="Arial" w:cs="Arial"/>
          <w:noProof/>
        </w:rPr>
      </w:pPr>
      <w:r w:rsidRPr="00462A49">
        <w:rPr>
          <w:rFonts w:ascii="Arial" w:hAnsi="Arial" w:cs="Arial"/>
          <w:noProof/>
        </w:rPr>
        <w:t> </w:t>
      </w:r>
    </w:p>
    <w:p w:rsidR="00462A49" w:rsidRPr="00462A49" w:rsidRDefault="00462A49" w:rsidP="00462A49">
      <w:pPr>
        <w:pStyle w:val="Paragraphedeliste"/>
        <w:rPr>
          <w:rFonts w:ascii="Arial" w:hAnsi="Arial" w:cs="Arial"/>
          <w:noProof/>
        </w:rPr>
      </w:pPr>
      <w:r w:rsidRPr="00462A49">
        <w:rPr>
          <w:rFonts w:ascii="Arial" w:hAnsi="Arial" w:cs="Arial"/>
          <w:noProof/>
        </w:rPr>
        <w:t>Proposer une démarche permettant de déterminer la masse de carbonate de calcium nécessaire pour augmenter le pH d’une unité pour 100 mL de la solution d’acide.</w:t>
      </w:r>
    </w:p>
    <w:p w:rsidR="00462A49" w:rsidRPr="00462A49" w:rsidRDefault="00462A49" w:rsidP="00462A49">
      <w:pPr>
        <w:pStyle w:val="Paragraphedeliste"/>
        <w:rPr>
          <w:rFonts w:ascii="Arial" w:hAnsi="Arial" w:cs="Arial"/>
          <w:noProof/>
        </w:rPr>
      </w:pPr>
      <w:r w:rsidRPr="00462A49">
        <w:rPr>
          <w:rFonts w:ascii="Arial" w:hAnsi="Arial" w:cs="Arial"/>
          <w:noProof/>
        </w:rPr>
        <w:t>La faire valider avant la mise en œuvre.</w:t>
      </w:r>
    </w:p>
    <w:p w:rsidR="004961F0" w:rsidRPr="004961F0" w:rsidRDefault="004961F0" w:rsidP="004961F0">
      <w:pPr>
        <w:pStyle w:val="Paragraphedeliste"/>
        <w:rPr>
          <w:rFonts w:ascii="Arial" w:hAnsi="Arial" w:cs="Arial"/>
          <w:noProof/>
        </w:rPr>
      </w:pPr>
    </w:p>
    <w:p w:rsidR="004961F0" w:rsidRPr="004961F0" w:rsidRDefault="004961F0" w:rsidP="004961F0">
      <w:pPr>
        <w:spacing w:after="0"/>
        <w:rPr>
          <w:rFonts w:ascii="Arial" w:hAnsi="Arial" w:cs="Arial"/>
          <w:b/>
          <w:noProof/>
        </w:rPr>
      </w:pPr>
      <w:r w:rsidRPr="004961F0">
        <w:rPr>
          <w:rFonts w:ascii="Arial" w:hAnsi="Arial" w:cs="Arial"/>
          <w:b/>
          <w:noProof/>
        </w:rPr>
        <w:t>Problème :</w:t>
      </w:r>
    </w:p>
    <w:p w:rsidR="004961F0" w:rsidRPr="004961F0" w:rsidRDefault="004961F0" w:rsidP="004961F0">
      <w:pPr>
        <w:spacing w:after="0"/>
        <w:rPr>
          <w:rFonts w:ascii="Arial" w:hAnsi="Arial" w:cs="Arial"/>
          <w:noProof/>
        </w:rPr>
      </w:pPr>
    </w:p>
    <w:p w:rsidR="00462A49" w:rsidRPr="00462A49" w:rsidRDefault="00462A49" w:rsidP="00462A49">
      <w:pPr>
        <w:pBdr>
          <w:top w:val="single" w:sz="4" w:space="1" w:color="auto"/>
          <w:left w:val="single" w:sz="4" w:space="4" w:color="auto"/>
          <w:bottom w:val="single" w:sz="4" w:space="1" w:color="auto"/>
          <w:right w:val="single" w:sz="4" w:space="4" w:color="auto"/>
        </w:pBdr>
        <w:spacing w:after="0"/>
        <w:rPr>
          <w:rFonts w:ascii="Arial" w:hAnsi="Arial" w:cs="Arial"/>
          <w:b/>
          <w:noProof/>
        </w:rPr>
      </w:pPr>
      <w:r w:rsidRPr="00462A49">
        <w:rPr>
          <w:rFonts w:ascii="Arial" w:hAnsi="Arial" w:cs="Arial"/>
          <w:b/>
          <w:noProof/>
        </w:rPr>
        <w:t>Quelle masse de carbonate de calcium doit-on utiliser pour rendre le pH du lac compatible avec la vie aquatique</w:t>
      </w:r>
      <w:r>
        <w:rPr>
          <w:rFonts w:ascii="Arial" w:hAnsi="Arial" w:cs="Arial"/>
          <w:b/>
          <w:noProof/>
        </w:rPr>
        <w:t xml:space="preserve"> ? </w:t>
      </w:r>
      <w:r w:rsidRPr="00462A49">
        <w:rPr>
          <w:rFonts w:ascii="Arial" w:hAnsi="Arial" w:cs="Arial"/>
          <w:b/>
          <w:noProof/>
        </w:rPr>
        <w:t xml:space="preserve"> Est-ce cohérent avec les informations de l’article ?</w:t>
      </w:r>
    </w:p>
    <w:p w:rsidR="004454FC" w:rsidRDefault="004454FC" w:rsidP="004961F0">
      <w:pPr>
        <w:spacing w:after="0"/>
        <w:rPr>
          <w:rFonts w:ascii="Arial" w:hAnsi="Arial" w:cs="Arial"/>
          <w:noProof/>
        </w:rPr>
      </w:pPr>
    </w:p>
    <w:p w:rsidR="004961F0" w:rsidRPr="004454FC" w:rsidRDefault="004961F0" w:rsidP="004961F0">
      <w:pPr>
        <w:spacing w:after="0"/>
        <w:rPr>
          <w:rFonts w:ascii="Comic Sans MS" w:hAnsi="Comic Sans MS" w:cs="Arial"/>
          <w:b/>
          <w:noProof/>
        </w:rPr>
      </w:pPr>
      <w:r w:rsidRPr="004454FC">
        <w:rPr>
          <w:rFonts w:ascii="Comic Sans MS" w:hAnsi="Comic Sans MS" w:cs="Arial"/>
          <w:b/>
          <w:noProof/>
        </w:rPr>
        <w:t xml:space="preserve">Partie 2 : </w:t>
      </w:r>
      <w:r w:rsidR="004454FC" w:rsidRPr="004454FC">
        <w:rPr>
          <w:rFonts w:ascii="Comic Sans MS" w:hAnsi="Comic Sans MS" w:cs="Arial"/>
          <w:b/>
          <w:noProof/>
        </w:rPr>
        <w:t>Mesure de la concentration de dioxyde de soufre émis par la centrale</w:t>
      </w:r>
    </w:p>
    <w:p w:rsidR="004961F0" w:rsidRPr="004961F0" w:rsidRDefault="004961F0" w:rsidP="004961F0">
      <w:pPr>
        <w:spacing w:after="0"/>
        <w:rPr>
          <w:rFonts w:ascii="Arial" w:hAnsi="Arial" w:cs="Arial"/>
          <w:noProof/>
        </w:rPr>
      </w:pPr>
    </w:p>
    <w:p w:rsidR="004961F0" w:rsidRPr="004961F0" w:rsidRDefault="004961F0" w:rsidP="004961F0">
      <w:pPr>
        <w:spacing w:after="0"/>
        <w:rPr>
          <w:rFonts w:ascii="Arial" w:hAnsi="Arial" w:cs="Arial"/>
          <w:noProof/>
        </w:rPr>
      </w:pPr>
    </w:p>
    <w:p w:rsidR="004961F0" w:rsidRPr="004454FC" w:rsidRDefault="004961F0" w:rsidP="004454FC">
      <w:pPr>
        <w:spacing w:after="0"/>
        <w:jc w:val="both"/>
        <w:rPr>
          <w:rFonts w:ascii="Arial" w:hAnsi="Arial" w:cs="Arial"/>
          <w:b/>
        </w:rPr>
      </w:pPr>
      <w:bookmarkStart w:id="0" w:name="_Hlk686599"/>
      <w:r w:rsidRPr="004454FC">
        <w:rPr>
          <w:rFonts w:ascii="Arial" w:hAnsi="Arial" w:cs="Arial"/>
          <w:b/>
        </w:rPr>
        <w:t>Questions préliminaires</w:t>
      </w:r>
    </w:p>
    <w:p w:rsidR="004961F0" w:rsidRPr="004961F0" w:rsidRDefault="004961F0" w:rsidP="004961F0">
      <w:pPr>
        <w:spacing w:after="0"/>
        <w:jc w:val="both"/>
        <w:rPr>
          <w:rFonts w:ascii="Arial" w:hAnsi="Arial" w:cs="Arial"/>
          <w:b/>
        </w:rPr>
      </w:pPr>
    </w:p>
    <w:p w:rsidR="004961F0" w:rsidRPr="004961F0" w:rsidRDefault="004961F0" w:rsidP="004961F0">
      <w:pPr>
        <w:spacing w:after="0"/>
        <w:jc w:val="both"/>
        <w:rPr>
          <w:rFonts w:ascii="Arial" w:hAnsi="Arial" w:cs="Arial"/>
          <w:b/>
        </w:rPr>
      </w:pPr>
    </w:p>
    <w:p w:rsidR="00462A49" w:rsidRPr="00462A49" w:rsidRDefault="00462A49" w:rsidP="00462A49">
      <w:pPr>
        <w:spacing w:after="0"/>
        <w:ind w:left="705" w:hanging="705"/>
        <w:jc w:val="both"/>
        <w:rPr>
          <w:rFonts w:ascii="Arial" w:hAnsi="Arial" w:cs="Arial"/>
        </w:rPr>
      </w:pPr>
      <w:r w:rsidRPr="00462A49">
        <w:rPr>
          <w:rFonts w:ascii="Arial" w:hAnsi="Arial" w:cs="Arial"/>
        </w:rPr>
        <w:t>1)</w:t>
      </w:r>
      <w:r w:rsidR="004961F0" w:rsidRPr="00462A49">
        <w:rPr>
          <w:rFonts w:ascii="Arial" w:hAnsi="Arial" w:cs="Arial"/>
          <w:b/>
        </w:rPr>
        <w:t xml:space="preserve"> </w:t>
      </w:r>
      <w:r>
        <w:rPr>
          <w:rFonts w:ascii="Arial" w:hAnsi="Arial" w:cs="Arial"/>
          <w:b/>
        </w:rPr>
        <w:tab/>
      </w:r>
      <w:r w:rsidRPr="00462A49">
        <w:rPr>
          <w:rFonts w:ascii="Arial" w:hAnsi="Arial" w:cs="Arial"/>
        </w:rPr>
        <w:t>Sachant que les couples oxydant/réducteur mis en jeu sont MnO</w:t>
      </w:r>
      <w:r w:rsidRPr="00462A49">
        <w:rPr>
          <w:rFonts w:ascii="Arial" w:hAnsi="Arial" w:cs="Arial"/>
          <w:vertAlign w:val="subscript"/>
        </w:rPr>
        <w:t>4</w:t>
      </w:r>
      <w:r w:rsidRPr="00462A49">
        <w:rPr>
          <w:rFonts w:ascii="Arial" w:hAnsi="Arial" w:cs="Arial"/>
          <w:vertAlign w:val="superscript"/>
        </w:rPr>
        <w:t>–</w:t>
      </w:r>
      <w:r w:rsidRPr="00462A49">
        <w:rPr>
          <w:rFonts w:ascii="Arial" w:hAnsi="Arial" w:cs="Arial"/>
          <w:vertAlign w:val="subscript"/>
        </w:rPr>
        <w:t>(</w:t>
      </w:r>
      <w:proofErr w:type="spellStart"/>
      <w:r w:rsidRPr="00462A49">
        <w:rPr>
          <w:rFonts w:ascii="Arial" w:hAnsi="Arial" w:cs="Arial"/>
          <w:vertAlign w:val="subscript"/>
        </w:rPr>
        <w:t>aq</w:t>
      </w:r>
      <w:proofErr w:type="spellEnd"/>
      <w:r w:rsidRPr="00462A49">
        <w:rPr>
          <w:rFonts w:ascii="Arial" w:hAnsi="Arial" w:cs="Arial"/>
          <w:vertAlign w:val="subscript"/>
        </w:rPr>
        <w:t>)</w:t>
      </w:r>
      <w:r w:rsidRPr="00462A49">
        <w:rPr>
          <w:rFonts w:ascii="Arial" w:hAnsi="Arial" w:cs="Arial"/>
        </w:rPr>
        <w:t>/Mn</w:t>
      </w:r>
      <w:r w:rsidRPr="00462A49">
        <w:rPr>
          <w:rFonts w:ascii="Arial" w:hAnsi="Arial" w:cs="Arial"/>
          <w:vertAlign w:val="superscript"/>
        </w:rPr>
        <w:t>2+</w:t>
      </w:r>
      <w:r w:rsidRPr="00462A49">
        <w:rPr>
          <w:rFonts w:ascii="Arial" w:hAnsi="Arial" w:cs="Arial"/>
          <w:vertAlign w:val="subscript"/>
        </w:rPr>
        <w:t>(</w:t>
      </w:r>
      <w:proofErr w:type="spellStart"/>
      <w:r w:rsidRPr="00462A49">
        <w:rPr>
          <w:rFonts w:ascii="Arial" w:hAnsi="Arial" w:cs="Arial"/>
          <w:vertAlign w:val="subscript"/>
        </w:rPr>
        <w:t>aq</w:t>
      </w:r>
      <w:proofErr w:type="spellEnd"/>
      <w:r w:rsidRPr="00462A49">
        <w:rPr>
          <w:rFonts w:ascii="Arial" w:hAnsi="Arial" w:cs="Arial"/>
          <w:vertAlign w:val="subscript"/>
        </w:rPr>
        <w:t>)</w:t>
      </w:r>
      <w:r w:rsidRPr="00462A49">
        <w:rPr>
          <w:rFonts w:ascii="Arial" w:hAnsi="Arial" w:cs="Arial"/>
        </w:rPr>
        <w:t xml:space="preserve"> et SO</w:t>
      </w:r>
      <w:r w:rsidRPr="00462A49">
        <w:rPr>
          <w:rFonts w:ascii="Arial" w:hAnsi="Arial" w:cs="Arial"/>
          <w:vertAlign w:val="subscript"/>
        </w:rPr>
        <w:t>4</w:t>
      </w:r>
      <w:r w:rsidRPr="00462A49">
        <w:rPr>
          <w:rFonts w:ascii="Arial" w:hAnsi="Arial" w:cs="Arial"/>
          <w:vertAlign w:val="superscript"/>
        </w:rPr>
        <w:t>2–</w:t>
      </w:r>
      <w:r w:rsidRPr="00462A49">
        <w:rPr>
          <w:rFonts w:ascii="Arial" w:hAnsi="Arial" w:cs="Arial"/>
          <w:vertAlign w:val="subscript"/>
        </w:rPr>
        <w:t>(</w:t>
      </w:r>
      <w:proofErr w:type="spellStart"/>
      <w:r w:rsidRPr="00462A49">
        <w:rPr>
          <w:rFonts w:ascii="Arial" w:hAnsi="Arial" w:cs="Arial"/>
          <w:vertAlign w:val="subscript"/>
        </w:rPr>
        <w:t>aq</w:t>
      </w:r>
      <w:proofErr w:type="spellEnd"/>
      <w:r w:rsidRPr="00462A49">
        <w:rPr>
          <w:rFonts w:ascii="Arial" w:hAnsi="Arial" w:cs="Arial"/>
          <w:vertAlign w:val="subscript"/>
        </w:rPr>
        <w:t>)</w:t>
      </w:r>
      <w:r w:rsidRPr="00462A49">
        <w:rPr>
          <w:rFonts w:ascii="Arial" w:hAnsi="Arial" w:cs="Arial"/>
        </w:rPr>
        <w:t>/SO</w:t>
      </w:r>
      <w:r w:rsidRPr="00462A49">
        <w:rPr>
          <w:rFonts w:ascii="Arial" w:hAnsi="Arial" w:cs="Arial"/>
          <w:vertAlign w:val="subscript"/>
        </w:rPr>
        <w:t>2(</w:t>
      </w:r>
      <w:proofErr w:type="spellStart"/>
      <w:r w:rsidRPr="00462A49">
        <w:rPr>
          <w:rFonts w:ascii="Arial" w:hAnsi="Arial" w:cs="Arial"/>
          <w:vertAlign w:val="subscript"/>
        </w:rPr>
        <w:t>aq</w:t>
      </w:r>
      <w:proofErr w:type="spellEnd"/>
      <w:r w:rsidRPr="00462A49">
        <w:rPr>
          <w:rFonts w:ascii="Arial" w:hAnsi="Arial" w:cs="Arial"/>
          <w:vertAlign w:val="subscript"/>
        </w:rPr>
        <w:t>)</w:t>
      </w:r>
      <w:r w:rsidRPr="00462A49">
        <w:rPr>
          <w:rFonts w:ascii="Arial" w:hAnsi="Arial" w:cs="Arial"/>
        </w:rPr>
        <w:t>, retrouver l’équation de la réaction modélisant l’action du dioxyde de soufre avec les ions permanganate MnO</w:t>
      </w:r>
      <w:r w:rsidRPr="00462A49">
        <w:rPr>
          <w:rFonts w:ascii="Arial" w:hAnsi="Arial" w:cs="Arial"/>
          <w:vertAlign w:val="subscript"/>
        </w:rPr>
        <w:t>4</w:t>
      </w:r>
      <w:r w:rsidRPr="00462A49">
        <w:rPr>
          <w:rFonts w:ascii="Arial" w:hAnsi="Arial" w:cs="Arial"/>
          <w:vertAlign w:val="superscript"/>
        </w:rPr>
        <w:t>–</w:t>
      </w:r>
      <w:r w:rsidRPr="00462A49">
        <w:rPr>
          <w:rFonts w:ascii="Arial" w:hAnsi="Arial" w:cs="Arial"/>
          <w:vertAlign w:val="subscript"/>
        </w:rPr>
        <w:t>(</w:t>
      </w:r>
      <w:proofErr w:type="spellStart"/>
      <w:r w:rsidRPr="00462A49">
        <w:rPr>
          <w:rFonts w:ascii="Arial" w:hAnsi="Arial" w:cs="Arial"/>
          <w:vertAlign w:val="subscript"/>
        </w:rPr>
        <w:t>aq</w:t>
      </w:r>
      <w:proofErr w:type="spellEnd"/>
      <w:r w:rsidRPr="00462A49">
        <w:rPr>
          <w:rFonts w:ascii="Arial" w:hAnsi="Arial" w:cs="Arial"/>
          <w:vertAlign w:val="subscript"/>
        </w:rPr>
        <w:t>)</w:t>
      </w:r>
      <w:r w:rsidRPr="00462A49">
        <w:rPr>
          <w:rFonts w:ascii="Arial" w:hAnsi="Arial" w:cs="Arial"/>
        </w:rPr>
        <w:t xml:space="preserve"> et expliquer l’évolution de la couleur de la solution contenue dans l’erlenmeyer au fur et à mesure de l’ajout de la solution de permanganate de potassium.</w:t>
      </w:r>
    </w:p>
    <w:p w:rsidR="00462A49" w:rsidRPr="00462A49" w:rsidRDefault="00462A49" w:rsidP="00462A49">
      <w:pPr>
        <w:pStyle w:val="Paragraphedeliste"/>
        <w:spacing w:after="0"/>
        <w:ind w:left="1068"/>
        <w:jc w:val="both"/>
        <w:rPr>
          <w:rFonts w:ascii="Arial" w:hAnsi="Arial" w:cs="Arial"/>
        </w:rPr>
      </w:pPr>
    </w:p>
    <w:p w:rsidR="00462A49" w:rsidRPr="00462A49" w:rsidRDefault="00462A49" w:rsidP="00462A49">
      <w:pPr>
        <w:pStyle w:val="Paragraphedeliste"/>
        <w:numPr>
          <w:ilvl w:val="0"/>
          <w:numId w:val="14"/>
        </w:numPr>
        <w:ind w:left="709" w:hanging="709"/>
        <w:jc w:val="both"/>
        <w:rPr>
          <w:rFonts w:ascii="Arial" w:hAnsi="Arial" w:cs="Arial"/>
        </w:rPr>
      </w:pPr>
      <w:r w:rsidRPr="00462A49">
        <w:rPr>
          <w:rFonts w:ascii="Arial" w:hAnsi="Arial" w:cs="Arial"/>
        </w:rPr>
        <w:t xml:space="preserve">Proposer une démarche permettant de déterminer la concentration en dioxyde de soufre dans 10,0 </w:t>
      </w:r>
      <w:proofErr w:type="spellStart"/>
      <w:r w:rsidRPr="00462A49">
        <w:rPr>
          <w:rFonts w:ascii="Arial" w:hAnsi="Arial" w:cs="Arial"/>
        </w:rPr>
        <w:t>mL</w:t>
      </w:r>
      <w:proofErr w:type="spellEnd"/>
      <w:r w:rsidRPr="00462A49">
        <w:rPr>
          <w:rFonts w:ascii="Arial" w:hAnsi="Arial" w:cs="Arial"/>
        </w:rPr>
        <w:t xml:space="preserve"> de la solution mise à disposition.</w:t>
      </w:r>
    </w:p>
    <w:p w:rsidR="004961F0" w:rsidRPr="00462A49" w:rsidRDefault="004961F0" w:rsidP="00462A49">
      <w:pPr>
        <w:pStyle w:val="Paragraphedeliste"/>
        <w:spacing w:after="0"/>
        <w:ind w:left="1068"/>
        <w:jc w:val="both"/>
        <w:rPr>
          <w:rFonts w:ascii="Arial" w:hAnsi="Arial" w:cs="Arial"/>
        </w:rPr>
      </w:pPr>
    </w:p>
    <w:p w:rsidR="004961F0" w:rsidRPr="004961F0" w:rsidRDefault="004961F0" w:rsidP="004961F0">
      <w:pPr>
        <w:spacing w:after="0"/>
        <w:jc w:val="both"/>
        <w:rPr>
          <w:rFonts w:ascii="Arial" w:hAnsi="Arial" w:cs="Arial"/>
        </w:rPr>
      </w:pPr>
    </w:p>
    <w:p w:rsidR="004961F0" w:rsidRPr="004961F0" w:rsidRDefault="004961F0" w:rsidP="004961F0">
      <w:pPr>
        <w:spacing w:after="0"/>
        <w:jc w:val="both"/>
        <w:rPr>
          <w:rFonts w:ascii="Arial" w:hAnsi="Arial" w:cs="Arial"/>
          <w:b/>
        </w:rPr>
      </w:pPr>
    </w:p>
    <w:p w:rsidR="004961F0" w:rsidRPr="004961F0" w:rsidRDefault="004961F0" w:rsidP="004961F0">
      <w:pPr>
        <w:spacing w:after="0"/>
        <w:jc w:val="both"/>
        <w:rPr>
          <w:rFonts w:ascii="Arial" w:hAnsi="Arial" w:cs="Arial"/>
          <w:b/>
        </w:rPr>
      </w:pPr>
      <w:bookmarkStart w:id="1" w:name="_Hlk687800"/>
      <w:bookmarkEnd w:id="0"/>
      <w:r w:rsidRPr="004961F0">
        <w:rPr>
          <w:rFonts w:ascii="Arial" w:hAnsi="Arial" w:cs="Arial"/>
          <w:b/>
        </w:rPr>
        <w:t>Problème :</w:t>
      </w:r>
    </w:p>
    <w:p w:rsidR="004961F0" w:rsidRPr="004961F0" w:rsidRDefault="004961F0" w:rsidP="004961F0">
      <w:pPr>
        <w:spacing w:after="0"/>
        <w:jc w:val="both"/>
        <w:rPr>
          <w:rFonts w:ascii="Arial" w:hAnsi="Arial" w:cs="Arial"/>
          <w:b/>
        </w:rPr>
      </w:pPr>
    </w:p>
    <w:bookmarkEnd w:id="1"/>
    <w:p w:rsidR="004961F0" w:rsidRPr="004961F0" w:rsidRDefault="00462A49" w:rsidP="00462A49">
      <w:pPr>
        <w:pBdr>
          <w:top w:val="single" w:sz="4" w:space="1" w:color="auto"/>
          <w:left w:val="single" w:sz="4" w:space="4" w:color="auto"/>
          <w:bottom w:val="single" w:sz="4" w:space="1" w:color="auto"/>
          <w:right w:val="single" w:sz="4" w:space="4" w:color="auto"/>
        </w:pBdr>
        <w:spacing w:after="0"/>
        <w:jc w:val="both"/>
        <w:rPr>
          <w:rFonts w:ascii="Arial" w:hAnsi="Arial" w:cs="Arial"/>
        </w:rPr>
      </w:pPr>
      <w:r w:rsidRPr="00462A49">
        <w:rPr>
          <w:rFonts w:ascii="Arial" w:hAnsi="Arial" w:cs="Arial"/>
          <w:b/>
        </w:rPr>
        <w:t>En faisant l’hypothèse que la totalité du dioxyde de soufre présent dans les effluents gazeux de la centrale thermique se dissout dans l’eau recueillie, à quel niveau de norme NCQAA les gaz émis par la centrale se situent-ils ?</w:t>
      </w:r>
    </w:p>
    <w:p w:rsidR="00131579" w:rsidRDefault="00131579" w:rsidP="00D46E53">
      <w:pPr>
        <w:spacing w:after="0"/>
        <w:rPr>
          <w:rFonts w:ascii="Arial" w:hAnsi="Arial" w:cs="Arial"/>
        </w:rPr>
      </w:pPr>
    </w:p>
    <w:p w:rsidR="00EF4042" w:rsidRDefault="00EF4042" w:rsidP="00D46E53">
      <w:pPr>
        <w:spacing w:after="0"/>
        <w:rPr>
          <w:rFonts w:ascii="Arial" w:hAnsi="Arial" w:cs="Arial"/>
        </w:rPr>
      </w:pPr>
    </w:p>
    <w:p w:rsidR="00EF4042" w:rsidRDefault="00EF4042" w:rsidP="00D46E53">
      <w:pPr>
        <w:spacing w:after="0"/>
        <w:rPr>
          <w:rFonts w:ascii="Arial" w:hAnsi="Arial" w:cs="Arial"/>
        </w:rPr>
      </w:pPr>
    </w:p>
    <w:p w:rsidR="00EF4042" w:rsidRDefault="00EF4042" w:rsidP="00D46E53">
      <w:pPr>
        <w:spacing w:after="0"/>
        <w:rPr>
          <w:rFonts w:ascii="Arial" w:hAnsi="Arial" w:cs="Arial"/>
        </w:rPr>
      </w:pPr>
    </w:p>
    <w:p w:rsidR="00EF4042" w:rsidRDefault="00EF4042" w:rsidP="00D46E53">
      <w:pPr>
        <w:spacing w:after="0"/>
        <w:rPr>
          <w:rFonts w:ascii="Arial" w:hAnsi="Arial" w:cs="Arial"/>
        </w:rPr>
      </w:pPr>
    </w:p>
    <w:p w:rsidR="00EF4042" w:rsidRDefault="00EF4042" w:rsidP="00D46E53">
      <w:pPr>
        <w:spacing w:after="0"/>
        <w:rPr>
          <w:rFonts w:ascii="Arial" w:hAnsi="Arial" w:cs="Arial"/>
        </w:rPr>
      </w:pPr>
    </w:p>
    <w:p w:rsidR="00EF4042" w:rsidRDefault="00EF4042" w:rsidP="00D46E53">
      <w:pPr>
        <w:spacing w:after="0"/>
        <w:rPr>
          <w:rFonts w:ascii="Arial" w:hAnsi="Arial" w:cs="Arial"/>
        </w:rPr>
      </w:pPr>
    </w:p>
    <w:p w:rsidR="00EF4042" w:rsidRDefault="00EF4042" w:rsidP="00D46E53">
      <w:pPr>
        <w:spacing w:after="0"/>
        <w:rPr>
          <w:rFonts w:ascii="Arial" w:hAnsi="Arial" w:cs="Arial"/>
        </w:rPr>
      </w:pPr>
    </w:p>
    <w:p w:rsidR="00EF4042" w:rsidRDefault="00EF4042" w:rsidP="00D46E53">
      <w:pPr>
        <w:spacing w:after="0"/>
        <w:rPr>
          <w:rFonts w:ascii="Arial" w:hAnsi="Arial" w:cs="Arial"/>
        </w:rPr>
      </w:pPr>
      <w:bookmarkStart w:id="2" w:name="_GoBack"/>
      <w:bookmarkEnd w:id="2"/>
    </w:p>
    <w:sectPr w:rsidR="00EF4042" w:rsidSect="004961F0">
      <w:pgSz w:w="11906" w:h="16838"/>
      <w:pgMar w:top="993" w:right="849"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SansMS">
    <w:altName w:val="Calibri"/>
    <w:panose1 w:val="00000000000000000000"/>
    <w:charset w:val="00"/>
    <w:family w:val="auto"/>
    <w:notTrueType/>
    <w:pitch w:val="default"/>
    <w:sig w:usb0="00000003" w:usb1="00000000" w:usb2="00000000" w:usb3="00000000" w:csb0="00000001"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SymbolMT">
    <w:altName w:val="Microsoft JhengHei"/>
    <w:panose1 w:val="00000000000000000000"/>
    <w:charset w:val="88"/>
    <w:family w:val="auto"/>
    <w:notTrueType/>
    <w:pitch w:val="default"/>
    <w:sig w:usb0="00000001" w:usb1="08080000" w:usb2="00000010" w:usb3="00000000" w:csb0="001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5215B"/>
    <w:multiLevelType w:val="hybridMultilevel"/>
    <w:tmpl w:val="1904FBE2"/>
    <w:lvl w:ilvl="0" w:tplc="6638CA08">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E73423"/>
    <w:multiLevelType w:val="hybridMultilevel"/>
    <w:tmpl w:val="D25EDBE8"/>
    <w:lvl w:ilvl="0" w:tplc="00FC1C06">
      <w:start w:val="1"/>
      <w:numFmt w:val="decimal"/>
      <w:lvlText w:val="%1)"/>
      <w:lvlJc w:val="left"/>
      <w:pPr>
        <w:ind w:left="360" w:hanging="360"/>
      </w:pPr>
      <w:rPr>
        <w:rFonts w:hint="default"/>
        <w:b w:val="0"/>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6AC1ADD"/>
    <w:multiLevelType w:val="hybridMultilevel"/>
    <w:tmpl w:val="7550DC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3F6593"/>
    <w:multiLevelType w:val="hybridMultilevel"/>
    <w:tmpl w:val="F62CA3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83A6D84"/>
    <w:multiLevelType w:val="hybridMultilevel"/>
    <w:tmpl w:val="6DB2AD3A"/>
    <w:lvl w:ilvl="0" w:tplc="3B743272">
      <w:start w:val="1"/>
      <w:numFmt w:val="decimal"/>
      <w:lvlText w:val="%1)"/>
      <w:lvlJc w:val="left"/>
      <w:pPr>
        <w:tabs>
          <w:tab w:val="num" w:pos="720"/>
        </w:tabs>
        <w:ind w:left="720" w:hanging="360"/>
      </w:pPr>
    </w:lvl>
    <w:lvl w:ilvl="1" w:tplc="C6D2D834" w:tentative="1">
      <w:start w:val="1"/>
      <w:numFmt w:val="decimal"/>
      <w:lvlText w:val="%2)"/>
      <w:lvlJc w:val="left"/>
      <w:pPr>
        <w:tabs>
          <w:tab w:val="num" w:pos="1440"/>
        </w:tabs>
        <w:ind w:left="1440" w:hanging="360"/>
      </w:pPr>
    </w:lvl>
    <w:lvl w:ilvl="2" w:tplc="D5BC4DFA" w:tentative="1">
      <w:start w:val="1"/>
      <w:numFmt w:val="decimal"/>
      <w:lvlText w:val="%3)"/>
      <w:lvlJc w:val="left"/>
      <w:pPr>
        <w:tabs>
          <w:tab w:val="num" w:pos="2160"/>
        </w:tabs>
        <w:ind w:left="2160" w:hanging="360"/>
      </w:pPr>
    </w:lvl>
    <w:lvl w:ilvl="3" w:tplc="BF48C9E0" w:tentative="1">
      <w:start w:val="1"/>
      <w:numFmt w:val="decimal"/>
      <w:lvlText w:val="%4)"/>
      <w:lvlJc w:val="left"/>
      <w:pPr>
        <w:tabs>
          <w:tab w:val="num" w:pos="2880"/>
        </w:tabs>
        <w:ind w:left="2880" w:hanging="360"/>
      </w:pPr>
    </w:lvl>
    <w:lvl w:ilvl="4" w:tplc="2A58DC0E" w:tentative="1">
      <w:start w:val="1"/>
      <w:numFmt w:val="decimal"/>
      <w:lvlText w:val="%5)"/>
      <w:lvlJc w:val="left"/>
      <w:pPr>
        <w:tabs>
          <w:tab w:val="num" w:pos="3600"/>
        </w:tabs>
        <w:ind w:left="3600" w:hanging="360"/>
      </w:pPr>
    </w:lvl>
    <w:lvl w:ilvl="5" w:tplc="C9D80D18" w:tentative="1">
      <w:start w:val="1"/>
      <w:numFmt w:val="decimal"/>
      <w:lvlText w:val="%6)"/>
      <w:lvlJc w:val="left"/>
      <w:pPr>
        <w:tabs>
          <w:tab w:val="num" w:pos="4320"/>
        </w:tabs>
        <w:ind w:left="4320" w:hanging="360"/>
      </w:pPr>
    </w:lvl>
    <w:lvl w:ilvl="6" w:tplc="A1E43C90" w:tentative="1">
      <w:start w:val="1"/>
      <w:numFmt w:val="decimal"/>
      <w:lvlText w:val="%7)"/>
      <w:lvlJc w:val="left"/>
      <w:pPr>
        <w:tabs>
          <w:tab w:val="num" w:pos="5040"/>
        </w:tabs>
        <w:ind w:left="5040" w:hanging="360"/>
      </w:pPr>
    </w:lvl>
    <w:lvl w:ilvl="7" w:tplc="E042D7B2" w:tentative="1">
      <w:start w:val="1"/>
      <w:numFmt w:val="decimal"/>
      <w:lvlText w:val="%8)"/>
      <w:lvlJc w:val="left"/>
      <w:pPr>
        <w:tabs>
          <w:tab w:val="num" w:pos="5760"/>
        </w:tabs>
        <w:ind w:left="5760" w:hanging="360"/>
      </w:pPr>
    </w:lvl>
    <w:lvl w:ilvl="8" w:tplc="5F8272A8" w:tentative="1">
      <w:start w:val="1"/>
      <w:numFmt w:val="decimal"/>
      <w:lvlText w:val="%9)"/>
      <w:lvlJc w:val="left"/>
      <w:pPr>
        <w:tabs>
          <w:tab w:val="num" w:pos="6480"/>
        </w:tabs>
        <w:ind w:left="6480" w:hanging="360"/>
      </w:pPr>
    </w:lvl>
  </w:abstractNum>
  <w:abstractNum w:abstractNumId="5" w15:restartNumberingAfterBreak="0">
    <w:nsid w:val="50E94141"/>
    <w:multiLevelType w:val="hybridMultilevel"/>
    <w:tmpl w:val="E72E521A"/>
    <w:lvl w:ilvl="0" w:tplc="47807BD6">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513101E2"/>
    <w:multiLevelType w:val="hybridMultilevel"/>
    <w:tmpl w:val="3A342B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9326FD"/>
    <w:multiLevelType w:val="hybridMultilevel"/>
    <w:tmpl w:val="CB667B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52C23EE"/>
    <w:multiLevelType w:val="hybridMultilevel"/>
    <w:tmpl w:val="F5C082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61B5CDD"/>
    <w:multiLevelType w:val="hybridMultilevel"/>
    <w:tmpl w:val="96CA4A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678642A"/>
    <w:multiLevelType w:val="hybridMultilevel"/>
    <w:tmpl w:val="5DA856A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F9E45A8"/>
    <w:multiLevelType w:val="hybridMultilevel"/>
    <w:tmpl w:val="8D8A6EAE"/>
    <w:lvl w:ilvl="0" w:tplc="3B3A97F2">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8967C1"/>
    <w:multiLevelType w:val="hybridMultilevel"/>
    <w:tmpl w:val="CD8023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A62559F"/>
    <w:multiLevelType w:val="hybridMultilevel"/>
    <w:tmpl w:val="5BDA4DA6"/>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10"/>
  </w:num>
  <w:num w:numId="5">
    <w:abstractNumId w:val="8"/>
  </w:num>
  <w:num w:numId="6">
    <w:abstractNumId w:val="11"/>
  </w:num>
  <w:num w:numId="7">
    <w:abstractNumId w:val="0"/>
  </w:num>
  <w:num w:numId="8">
    <w:abstractNumId w:val="3"/>
  </w:num>
  <w:num w:numId="9">
    <w:abstractNumId w:val="12"/>
  </w:num>
  <w:num w:numId="10">
    <w:abstractNumId w:val="1"/>
  </w:num>
  <w:num w:numId="11">
    <w:abstractNumId w:val="9"/>
  </w:num>
  <w:num w:numId="12">
    <w:abstractNumId w:val="6"/>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F6E"/>
    <w:rsid w:val="00005622"/>
    <w:rsid w:val="000A2CE1"/>
    <w:rsid w:val="000A65C1"/>
    <w:rsid w:val="000B1142"/>
    <w:rsid w:val="00131579"/>
    <w:rsid w:val="0015487C"/>
    <w:rsid w:val="0016664B"/>
    <w:rsid w:val="001D0440"/>
    <w:rsid w:val="001E0128"/>
    <w:rsid w:val="00216024"/>
    <w:rsid w:val="00216E1D"/>
    <w:rsid w:val="002338A5"/>
    <w:rsid w:val="00234DB9"/>
    <w:rsid w:val="00245B9F"/>
    <w:rsid w:val="00262F6E"/>
    <w:rsid w:val="0030243D"/>
    <w:rsid w:val="00310A9B"/>
    <w:rsid w:val="00337A1E"/>
    <w:rsid w:val="00340724"/>
    <w:rsid w:val="0035394E"/>
    <w:rsid w:val="003953AA"/>
    <w:rsid w:val="00396A78"/>
    <w:rsid w:val="003C009E"/>
    <w:rsid w:val="003D6313"/>
    <w:rsid w:val="003E04C0"/>
    <w:rsid w:val="004151B4"/>
    <w:rsid w:val="004454FC"/>
    <w:rsid w:val="00462A49"/>
    <w:rsid w:val="004961F0"/>
    <w:rsid w:val="005147CE"/>
    <w:rsid w:val="00527BF0"/>
    <w:rsid w:val="00566B55"/>
    <w:rsid w:val="005A1850"/>
    <w:rsid w:val="00604FA4"/>
    <w:rsid w:val="0062121D"/>
    <w:rsid w:val="006433A9"/>
    <w:rsid w:val="00697552"/>
    <w:rsid w:val="006A25ED"/>
    <w:rsid w:val="006B01FB"/>
    <w:rsid w:val="006B0730"/>
    <w:rsid w:val="006B21D4"/>
    <w:rsid w:val="006E2DD9"/>
    <w:rsid w:val="00716750"/>
    <w:rsid w:val="00722578"/>
    <w:rsid w:val="00733D81"/>
    <w:rsid w:val="00741268"/>
    <w:rsid w:val="007C0023"/>
    <w:rsid w:val="007D3D26"/>
    <w:rsid w:val="007E0836"/>
    <w:rsid w:val="007E4E5A"/>
    <w:rsid w:val="00852884"/>
    <w:rsid w:val="008B4726"/>
    <w:rsid w:val="0090165B"/>
    <w:rsid w:val="00907B2F"/>
    <w:rsid w:val="009267F2"/>
    <w:rsid w:val="009915DB"/>
    <w:rsid w:val="009B6EA1"/>
    <w:rsid w:val="00A204C5"/>
    <w:rsid w:val="00AA425B"/>
    <w:rsid w:val="00B05B8B"/>
    <w:rsid w:val="00BC199A"/>
    <w:rsid w:val="00BE6987"/>
    <w:rsid w:val="00BF379E"/>
    <w:rsid w:val="00C36E78"/>
    <w:rsid w:val="00C927EC"/>
    <w:rsid w:val="00D4159A"/>
    <w:rsid w:val="00D46E53"/>
    <w:rsid w:val="00D57E9A"/>
    <w:rsid w:val="00EF4042"/>
    <w:rsid w:val="00F76221"/>
    <w:rsid w:val="00F957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AA67C"/>
  <w15:chartTrackingRefBased/>
  <w15:docId w15:val="{474D2BD1-C8AA-4C83-BCF7-023DE1C18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E0128"/>
    <w:pPr>
      <w:ind w:left="720"/>
      <w:contextualSpacing/>
    </w:pPr>
  </w:style>
  <w:style w:type="character" w:styleId="Lienhypertexte">
    <w:name w:val="Hyperlink"/>
    <w:basedOn w:val="Policepardfaut"/>
    <w:uiPriority w:val="99"/>
    <w:unhideWhenUsed/>
    <w:rsid w:val="000B1142"/>
    <w:rPr>
      <w:color w:val="0563C1" w:themeColor="hyperlink"/>
      <w:u w:val="single"/>
    </w:rPr>
  </w:style>
  <w:style w:type="character" w:styleId="Mentionnonrsolue">
    <w:name w:val="Unresolved Mention"/>
    <w:basedOn w:val="Policepardfaut"/>
    <w:uiPriority w:val="99"/>
    <w:semiHidden/>
    <w:unhideWhenUsed/>
    <w:rsid w:val="000B1142"/>
    <w:rPr>
      <w:color w:val="605E5C"/>
      <w:shd w:val="clear" w:color="auto" w:fill="E1DFDD"/>
    </w:rPr>
  </w:style>
  <w:style w:type="table" w:styleId="Grilledutableau">
    <w:name w:val="Table Grid"/>
    <w:basedOn w:val="TableauNormal"/>
    <w:uiPriority w:val="39"/>
    <w:rsid w:val="00131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131579"/>
    <w:rPr>
      <w:color w:val="954F72" w:themeColor="followedHyperlink"/>
      <w:u w:val="single"/>
    </w:rPr>
  </w:style>
  <w:style w:type="character" w:styleId="Textedelespacerserv">
    <w:name w:val="Placeholder Text"/>
    <w:basedOn w:val="Policepardfaut"/>
    <w:uiPriority w:val="99"/>
    <w:semiHidden/>
    <w:rsid w:val="00C36E78"/>
    <w:rPr>
      <w:color w:val="808080"/>
    </w:rPr>
  </w:style>
  <w:style w:type="character" w:customStyle="1" w:styleId="spelle">
    <w:name w:val="spelle"/>
    <w:basedOn w:val="Policepardfaut"/>
    <w:rsid w:val="00245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26475">
      <w:bodyDiv w:val="1"/>
      <w:marLeft w:val="0"/>
      <w:marRight w:val="0"/>
      <w:marTop w:val="0"/>
      <w:marBottom w:val="0"/>
      <w:divBdr>
        <w:top w:val="none" w:sz="0" w:space="0" w:color="auto"/>
        <w:left w:val="none" w:sz="0" w:space="0" w:color="auto"/>
        <w:bottom w:val="none" w:sz="0" w:space="0" w:color="auto"/>
        <w:right w:val="none" w:sz="0" w:space="0" w:color="auto"/>
      </w:divBdr>
    </w:div>
    <w:div w:id="344405879">
      <w:bodyDiv w:val="1"/>
      <w:marLeft w:val="0"/>
      <w:marRight w:val="0"/>
      <w:marTop w:val="0"/>
      <w:marBottom w:val="0"/>
      <w:divBdr>
        <w:top w:val="none" w:sz="0" w:space="0" w:color="auto"/>
        <w:left w:val="none" w:sz="0" w:space="0" w:color="auto"/>
        <w:bottom w:val="none" w:sz="0" w:space="0" w:color="auto"/>
        <w:right w:val="none" w:sz="0" w:space="0" w:color="auto"/>
      </w:divBdr>
    </w:div>
    <w:div w:id="1677727760">
      <w:bodyDiv w:val="1"/>
      <w:marLeft w:val="0"/>
      <w:marRight w:val="0"/>
      <w:marTop w:val="0"/>
      <w:marBottom w:val="0"/>
      <w:divBdr>
        <w:top w:val="none" w:sz="0" w:space="0" w:color="auto"/>
        <w:left w:val="none" w:sz="0" w:space="0" w:color="auto"/>
        <w:bottom w:val="none" w:sz="0" w:space="0" w:color="auto"/>
        <w:right w:val="none" w:sz="0" w:space="0" w:color="auto"/>
      </w:divBdr>
      <w:divsChild>
        <w:div w:id="1660032681">
          <w:marLeft w:val="360"/>
          <w:marRight w:val="0"/>
          <w:marTop w:val="0"/>
          <w:marBottom w:val="0"/>
          <w:divBdr>
            <w:top w:val="none" w:sz="0" w:space="0" w:color="auto"/>
            <w:left w:val="none" w:sz="0" w:space="0" w:color="auto"/>
            <w:bottom w:val="none" w:sz="0" w:space="0" w:color="auto"/>
            <w:right w:val="none" w:sz="0" w:space="0" w:color="auto"/>
          </w:divBdr>
        </w:div>
        <w:div w:id="1081636134">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vironnement.gouv.qc.ca/eau/eco_aqua/lacs_acides/2004/lacs-acides-Qc.pdf"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1331</Words>
  <Characters>7324</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dc:creator>
  <cp:keywords/>
  <dc:description/>
  <cp:lastModifiedBy>DD</cp:lastModifiedBy>
  <cp:revision>3</cp:revision>
  <dcterms:created xsi:type="dcterms:W3CDTF">2019-02-27T20:43:00Z</dcterms:created>
  <dcterms:modified xsi:type="dcterms:W3CDTF">2019-02-27T20:43:00Z</dcterms:modified>
</cp:coreProperties>
</file>