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bin" ContentType="application/vnd.openxmlformats-officedocument.oleObject"/>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endnotes.xml" ContentType="application/vnd.openxmlformats-officedocument.wordprocessingml.endnotes+xml"/>
  <Default Extension="png" ContentType="image/png"/>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9578D" w:rsidRDefault="0049578D" w:rsidP="0049578D">
      <w:pPr>
        <w:jc w:val="center"/>
        <w:rPr>
          <w:b/>
        </w:rPr>
      </w:pPr>
      <w:r>
        <w:rPr>
          <w:b/>
        </w:rPr>
        <w:t>Fiche de présentation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7"/>
        <w:gridCol w:w="5091"/>
      </w:tblGrid>
      <w:tr w:rsidR="0049578D">
        <w:trPr>
          <w:trHeight w:val="675"/>
        </w:trPr>
        <w:tc>
          <w:tcPr>
            <w:tcW w:w="5047" w:type="dxa"/>
            <w:vMerge w:val="restart"/>
            <w:tcBorders>
              <w:top w:val="single" w:sz="4" w:space="0" w:color="auto"/>
              <w:left w:val="single" w:sz="4" w:space="0" w:color="auto"/>
              <w:bottom w:val="single" w:sz="4" w:space="0" w:color="auto"/>
              <w:right w:val="single" w:sz="4" w:space="0" w:color="auto"/>
            </w:tcBorders>
            <w:vAlign w:val="center"/>
          </w:tcPr>
          <w:p w:rsidR="0049578D" w:rsidRDefault="0049578D">
            <w:pPr>
              <w:spacing w:line="276" w:lineRule="auto"/>
              <w:rPr>
                <w:lang w:eastAsia="en-US"/>
              </w:rPr>
            </w:pPr>
            <w:r>
              <w:rPr>
                <w:lang w:eastAsia="en-US"/>
              </w:rPr>
              <w:t xml:space="preserve">Classe : </w:t>
            </w:r>
            <w:r>
              <w:rPr>
                <w:b/>
                <w:lang w:eastAsia="en-US"/>
              </w:rPr>
              <w:t>1</w:t>
            </w:r>
            <w:r>
              <w:rPr>
                <w:b/>
                <w:vertAlign w:val="superscript"/>
                <w:lang w:eastAsia="en-US"/>
              </w:rPr>
              <w:t>ère</w:t>
            </w:r>
            <w:r>
              <w:rPr>
                <w:b/>
                <w:lang w:eastAsia="en-US"/>
              </w:rPr>
              <w:t xml:space="preserve"> STL</w:t>
            </w:r>
          </w:p>
        </w:tc>
        <w:tc>
          <w:tcPr>
            <w:tcW w:w="5091" w:type="dxa"/>
            <w:tcBorders>
              <w:top w:val="single" w:sz="4" w:space="0" w:color="auto"/>
              <w:left w:val="single" w:sz="4" w:space="0" w:color="auto"/>
              <w:bottom w:val="single" w:sz="4" w:space="0" w:color="auto"/>
              <w:right w:val="single" w:sz="4" w:space="0" w:color="auto"/>
            </w:tcBorders>
            <w:vAlign w:val="center"/>
          </w:tcPr>
          <w:p w:rsidR="0049578D" w:rsidRDefault="0049578D">
            <w:pPr>
              <w:spacing w:line="276" w:lineRule="auto"/>
              <w:rPr>
                <w:lang w:eastAsia="en-US"/>
              </w:rPr>
            </w:pPr>
            <w:r>
              <w:rPr>
                <w:lang w:eastAsia="en-US"/>
              </w:rPr>
              <w:t xml:space="preserve">Enseignement : </w:t>
            </w:r>
            <w:r>
              <w:rPr>
                <w:b/>
                <w:lang w:eastAsia="en-US"/>
              </w:rPr>
              <w:t>Sciences physiques et chimiques en laboratoire : analyses physico-chimiques</w:t>
            </w:r>
          </w:p>
        </w:tc>
      </w:tr>
      <w:tr w:rsidR="0049578D">
        <w:trPr>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49578D" w:rsidRDefault="0049578D">
            <w:pPr>
              <w:jc w:val="left"/>
              <w:rPr>
                <w:lang w:eastAsia="en-US"/>
              </w:rPr>
            </w:pPr>
          </w:p>
        </w:tc>
        <w:tc>
          <w:tcPr>
            <w:tcW w:w="5091" w:type="dxa"/>
            <w:tcBorders>
              <w:top w:val="single" w:sz="4" w:space="0" w:color="auto"/>
              <w:left w:val="single" w:sz="4" w:space="0" w:color="auto"/>
              <w:bottom w:val="single" w:sz="4" w:space="0" w:color="auto"/>
              <w:right w:val="single" w:sz="4" w:space="0" w:color="auto"/>
            </w:tcBorders>
            <w:vAlign w:val="center"/>
          </w:tcPr>
          <w:p w:rsidR="0049578D" w:rsidRDefault="0049578D">
            <w:pPr>
              <w:spacing w:line="276" w:lineRule="auto"/>
              <w:jc w:val="center"/>
              <w:rPr>
                <w:lang w:eastAsia="en-US"/>
              </w:rPr>
            </w:pPr>
            <w:r>
              <w:rPr>
                <w:lang w:eastAsia="en-US"/>
              </w:rPr>
              <w:t xml:space="preserve">Sous-thème </w:t>
            </w:r>
            <w:r>
              <w:rPr>
                <w:b/>
                <w:lang w:eastAsia="en-US"/>
              </w:rPr>
              <w:t>Analyse structurale</w:t>
            </w:r>
          </w:p>
        </w:tc>
      </w:tr>
    </w:tbl>
    <w:p w:rsidR="0049578D" w:rsidRDefault="0049578D" w:rsidP="004957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06"/>
      </w:tblGrid>
      <w:tr w:rsidR="0049578D">
        <w:tc>
          <w:tcPr>
            <w:tcW w:w="10606" w:type="dxa"/>
            <w:tcBorders>
              <w:top w:val="single" w:sz="4" w:space="0" w:color="auto"/>
              <w:left w:val="single" w:sz="4" w:space="0" w:color="auto"/>
              <w:bottom w:val="single" w:sz="4" w:space="0" w:color="auto"/>
              <w:right w:val="single" w:sz="4" w:space="0" w:color="auto"/>
            </w:tcBorders>
          </w:tcPr>
          <w:p w:rsidR="0049578D" w:rsidRDefault="0049578D">
            <w:pPr>
              <w:spacing w:line="276" w:lineRule="auto"/>
              <w:jc w:val="center"/>
              <w:rPr>
                <w:b/>
                <w:lang w:eastAsia="en-US"/>
              </w:rPr>
            </w:pPr>
            <w:r>
              <w:rPr>
                <w:b/>
                <w:lang w:eastAsia="en-US"/>
              </w:rPr>
              <w:t>Spectres RMN du</w:t>
            </w:r>
            <w:r w:rsidR="004A3387">
              <w:rPr>
                <w:b/>
                <w:lang w:eastAsia="en-US"/>
              </w:rPr>
              <w:t xml:space="preserve"> proton</w:t>
            </w:r>
          </w:p>
        </w:tc>
      </w:tr>
    </w:tbl>
    <w:p w:rsidR="0049578D" w:rsidRDefault="0049578D" w:rsidP="0049578D"/>
    <w:p w:rsidR="0049578D" w:rsidRDefault="0049578D" w:rsidP="0049578D">
      <w:pPr>
        <w:rPr>
          <w:u w:val="single"/>
        </w:rPr>
      </w:pPr>
      <w:r>
        <w:rPr>
          <w:u w:val="single"/>
        </w:rPr>
        <w:t>Problématique de la séquence :</w:t>
      </w:r>
    </w:p>
    <w:p w:rsidR="0049578D" w:rsidRDefault="0049578D" w:rsidP="0049578D"/>
    <w:p w:rsidR="0049578D" w:rsidRDefault="0049578D" w:rsidP="0049578D">
      <w:r>
        <w:t>Découvrir les outils nécessaires à l’exploitation de spectres RMN du proton en analyse structurale.</w:t>
      </w:r>
    </w:p>
    <w:p w:rsidR="0049578D" w:rsidRDefault="0049578D" w:rsidP="0049578D"/>
    <w:p w:rsidR="0049578D" w:rsidRDefault="0049578D" w:rsidP="0049578D">
      <w:pPr>
        <w:rPr>
          <w:u w:val="single"/>
        </w:rPr>
      </w:pPr>
      <w:r>
        <w:rPr>
          <w:u w:val="single"/>
        </w:rPr>
        <w:t>Organisation de la séquence :</w:t>
      </w:r>
    </w:p>
    <w:p w:rsidR="0049578D" w:rsidRDefault="0049578D" w:rsidP="0049578D">
      <w:pPr>
        <w:numPr>
          <w:ilvl w:val="0"/>
          <w:numId w:val="1"/>
        </w:numPr>
        <w:jc w:val="left"/>
      </w:pPr>
      <w:r>
        <w:t>1 Séance de 2h.</w:t>
      </w:r>
    </w:p>
    <w:p w:rsidR="0049578D" w:rsidRDefault="0049578D" w:rsidP="0049578D">
      <w:pPr>
        <w:numPr>
          <w:ilvl w:val="0"/>
          <w:numId w:val="1"/>
        </w:numPr>
        <w:jc w:val="left"/>
      </w:pPr>
      <w:r>
        <w:t>L’activité de la séance est décrite dans la fiche ressource.</w:t>
      </w:r>
    </w:p>
    <w:p w:rsidR="0049578D" w:rsidRDefault="0049578D" w:rsidP="0049578D">
      <w:pPr>
        <w:rPr>
          <w:u w:val="single"/>
        </w:rPr>
      </w:pPr>
      <w:r>
        <w:rPr>
          <w:u w:val="single"/>
        </w:rPr>
        <w:t>Description de l’activité :</w:t>
      </w:r>
    </w:p>
    <w:p w:rsidR="0049578D" w:rsidRDefault="0049578D" w:rsidP="0049578D"/>
    <w:p w:rsidR="0049578D" w:rsidRDefault="0049578D" w:rsidP="0049578D">
      <w:r>
        <w:t>Appréhender par analyse documentaire et des exemples simples les notions de protons isochrones, déplacement chimique, référence (TMS), déplacement chimique, courbe d’intégration et couplage.</w:t>
      </w:r>
    </w:p>
    <w:p w:rsidR="0049578D" w:rsidRDefault="0049578D" w:rsidP="0049578D"/>
    <w:p w:rsidR="0049578D" w:rsidRDefault="0049578D" w:rsidP="0049578D">
      <w:pPr>
        <w:rPr>
          <w:u w:val="single"/>
        </w:rPr>
      </w:pPr>
      <w:r>
        <w:rPr>
          <w:u w:val="single"/>
        </w:rPr>
        <w:t>Problématique de l’activité :</w:t>
      </w:r>
    </w:p>
    <w:p w:rsidR="0049578D" w:rsidRDefault="0049578D" w:rsidP="0049578D"/>
    <w:p w:rsidR="0049578D" w:rsidRDefault="0049578D" w:rsidP="0049578D">
      <w:r>
        <w:t>Comprendre un puissant outil d’analyse structurale utilisée au laboratoire et dans l’industrie.</w:t>
      </w:r>
    </w:p>
    <w:p w:rsidR="0049578D" w:rsidRDefault="0049578D" w:rsidP="0049578D"/>
    <w:p w:rsidR="0049578D" w:rsidRDefault="0049578D" w:rsidP="0049578D">
      <w:pPr>
        <w:rPr>
          <w:u w:val="single"/>
        </w:rPr>
      </w:pPr>
      <w:r>
        <w:rPr>
          <w:u w:val="single"/>
        </w:rPr>
        <w:t>Objectifs visés :</w:t>
      </w:r>
    </w:p>
    <w:p w:rsidR="0049578D" w:rsidRDefault="0049578D" w:rsidP="0049578D"/>
    <w:p w:rsidR="0049578D" w:rsidRDefault="0049578D" w:rsidP="0049578D">
      <w:r>
        <w:t>Savoir interpréter un spectre RMN du proton pour confirmer une formule structurale.</w:t>
      </w:r>
    </w:p>
    <w:p w:rsidR="0049578D" w:rsidRDefault="0049578D" w:rsidP="0049578D"/>
    <w:p w:rsidR="0049578D" w:rsidRDefault="0049578D" w:rsidP="0049578D">
      <w:pPr>
        <w:rPr>
          <w:u w:val="single"/>
        </w:rPr>
      </w:pPr>
      <w:r>
        <w:rPr>
          <w:u w:val="single"/>
        </w:rPr>
        <w:t>Type d’activité :</w:t>
      </w:r>
    </w:p>
    <w:p w:rsidR="0049578D" w:rsidRDefault="0049578D" w:rsidP="0049578D"/>
    <w:p w:rsidR="0049578D" w:rsidRDefault="0049578D" w:rsidP="0049578D">
      <w:r>
        <w:t>Activité documentaire.</w:t>
      </w:r>
    </w:p>
    <w:p w:rsidR="0049578D" w:rsidRDefault="0049578D" w:rsidP="0049578D"/>
    <w:p w:rsidR="0049578D" w:rsidRDefault="0049578D" w:rsidP="0049578D">
      <w:pPr>
        <w:rPr>
          <w:u w:val="single"/>
        </w:rPr>
      </w:pPr>
      <w:r>
        <w:rPr>
          <w:u w:val="single"/>
        </w:rPr>
        <w:t>Conditions de mise en œuvre :</w:t>
      </w:r>
    </w:p>
    <w:p w:rsidR="0049578D" w:rsidRDefault="0049578D" w:rsidP="0049578D">
      <w:pPr>
        <w:ind w:left="1065"/>
      </w:pPr>
    </w:p>
    <w:p w:rsidR="0049578D" w:rsidRDefault="0049578D" w:rsidP="0049578D">
      <w:pPr>
        <w:rPr>
          <w:u w:val="single"/>
        </w:rPr>
      </w:pPr>
      <w:r>
        <w:rPr>
          <w:u w:val="single"/>
        </w:rPr>
        <w:t>Pré-requis :</w:t>
      </w:r>
    </w:p>
    <w:p w:rsidR="0049578D" w:rsidRDefault="0049578D" w:rsidP="0049578D"/>
    <w:p w:rsidR="0049578D" w:rsidRDefault="0049578D" w:rsidP="0049578D">
      <w:r>
        <w:t>Formule chimique</w:t>
      </w:r>
    </w:p>
    <w:p w:rsidR="0049578D" w:rsidRDefault="0049578D" w:rsidP="0049578D">
      <w:r>
        <w:t>Structure de l’atome</w:t>
      </w:r>
    </w:p>
    <w:p w:rsidR="0049578D" w:rsidRDefault="0049578D" w:rsidP="0049578D">
      <w:r>
        <w:t>Rayonnement électromagnétique</w:t>
      </w:r>
    </w:p>
    <w:p w:rsidR="0049578D" w:rsidRDefault="0049578D" w:rsidP="004957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3"/>
        <w:gridCol w:w="5303"/>
      </w:tblGrid>
      <w:tr w:rsidR="0049578D">
        <w:tc>
          <w:tcPr>
            <w:tcW w:w="5303" w:type="dxa"/>
            <w:tcBorders>
              <w:top w:val="single" w:sz="4" w:space="0" w:color="auto"/>
              <w:left w:val="single" w:sz="4" w:space="0" w:color="auto"/>
              <w:bottom w:val="single" w:sz="4" w:space="0" w:color="auto"/>
              <w:right w:val="single" w:sz="4" w:space="0" w:color="auto"/>
            </w:tcBorders>
          </w:tcPr>
          <w:p w:rsidR="0049578D" w:rsidRDefault="0049578D">
            <w:pPr>
              <w:spacing w:line="276" w:lineRule="auto"/>
              <w:jc w:val="center"/>
              <w:rPr>
                <w:lang w:eastAsia="en-US"/>
              </w:rPr>
            </w:pPr>
            <w:r>
              <w:rPr>
                <w:lang w:eastAsia="en-US"/>
              </w:rPr>
              <w:t>NOTIONS ET CONTENUS</w:t>
            </w:r>
          </w:p>
        </w:tc>
        <w:tc>
          <w:tcPr>
            <w:tcW w:w="5303" w:type="dxa"/>
            <w:tcBorders>
              <w:top w:val="single" w:sz="4" w:space="0" w:color="auto"/>
              <w:left w:val="single" w:sz="4" w:space="0" w:color="auto"/>
              <w:bottom w:val="single" w:sz="4" w:space="0" w:color="auto"/>
              <w:right w:val="single" w:sz="4" w:space="0" w:color="auto"/>
            </w:tcBorders>
          </w:tcPr>
          <w:p w:rsidR="0049578D" w:rsidRDefault="0049578D">
            <w:pPr>
              <w:spacing w:line="276" w:lineRule="auto"/>
              <w:jc w:val="center"/>
              <w:rPr>
                <w:lang w:eastAsia="en-US"/>
              </w:rPr>
            </w:pPr>
            <w:r>
              <w:rPr>
                <w:lang w:eastAsia="en-US"/>
              </w:rPr>
              <w:t>CAPACITES</w:t>
            </w:r>
          </w:p>
        </w:tc>
      </w:tr>
      <w:tr w:rsidR="0049578D">
        <w:tc>
          <w:tcPr>
            <w:tcW w:w="5303" w:type="dxa"/>
            <w:tcBorders>
              <w:top w:val="single" w:sz="4" w:space="0" w:color="auto"/>
              <w:left w:val="single" w:sz="4" w:space="0" w:color="auto"/>
              <w:bottom w:val="single" w:sz="4" w:space="0" w:color="auto"/>
              <w:right w:val="single" w:sz="4" w:space="0" w:color="auto"/>
            </w:tcBorders>
          </w:tcPr>
          <w:p w:rsidR="0049578D" w:rsidRDefault="0049578D">
            <w:pPr>
              <w:autoSpaceDE w:val="0"/>
              <w:autoSpaceDN w:val="0"/>
              <w:adjustRightInd w:val="0"/>
              <w:spacing w:line="276" w:lineRule="auto"/>
              <w:rPr>
                <w:rFonts w:cs="Arial"/>
                <w:lang w:eastAsia="en-US"/>
              </w:rPr>
            </w:pPr>
            <w:r>
              <w:rPr>
                <w:rFonts w:cs="Arial"/>
                <w:lang w:eastAsia="en-US"/>
              </w:rPr>
              <w:t>Analyse structurale</w:t>
            </w:r>
          </w:p>
          <w:p w:rsidR="0049578D" w:rsidRDefault="0049578D">
            <w:pPr>
              <w:autoSpaceDE w:val="0"/>
              <w:autoSpaceDN w:val="0"/>
              <w:adjustRightInd w:val="0"/>
              <w:spacing w:line="276" w:lineRule="auto"/>
              <w:rPr>
                <w:rFonts w:cs="Arial"/>
                <w:lang w:eastAsia="en-US"/>
              </w:rPr>
            </w:pPr>
            <w:r>
              <w:rPr>
                <w:rFonts w:cs="Arial"/>
                <w:lang w:eastAsia="en-US"/>
              </w:rPr>
              <w:t>Spectroscopie UV, IR, RMN</w:t>
            </w:r>
          </w:p>
          <w:p w:rsidR="0049578D" w:rsidRDefault="0049578D">
            <w:pPr>
              <w:spacing w:line="276" w:lineRule="auto"/>
              <w:rPr>
                <w:lang w:eastAsia="en-US"/>
              </w:rPr>
            </w:pPr>
            <w:r>
              <w:rPr>
                <w:rFonts w:cs="Arial"/>
                <w:lang w:eastAsia="en-US"/>
              </w:rPr>
              <w:t>Interaction rayonnement/matière</w:t>
            </w:r>
          </w:p>
        </w:tc>
        <w:tc>
          <w:tcPr>
            <w:tcW w:w="5303" w:type="dxa"/>
            <w:tcBorders>
              <w:top w:val="single" w:sz="4" w:space="0" w:color="auto"/>
              <w:left w:val="single" w:sz="4" w:space="0" w:color="auto"/>
              <w:bottom w:val="single" w:sz="4" w:space="0" w:color="auto"/>
              <w:right w:val="single" w:sz="4" w:space="0" w:color="auto"/>
            </w:tcBorders>
          </w:tcPr>
          <w:p w:rsidR="0049578D" w:rsidRDefault="0049578D">
            <w:pPr>
              <w:autoSpaceDE w:val="0"/>
              <w:autoSpaceDN w:val="0"/>
              <w:adjustRightInd w:val="0"/>
              <w:spacing w:line="276" w:lineRule="auto"/>
              <w:rPr>
                <w:rFonts w:cs="Arial"/>
                <w:lang w:eastAsia="en-US"/>
              </w:rPr>
            </w:pPr>
            <w:r>
              <w:rPr>
                <w:rFonts w:cs="Arial"/>
                <w:lang w:eastAsia="en-US"/>
              </w:rPr>
              <w:t>Utiliser des banques de données pour confirmer la présence d’un groupe caractéristique (IR) et pour confirmer une formule développée (RMN)</w:t>
            </w:r>
          </w:p>
        </w:tc>
      </w:tr>
    </w:tbl>
    <w:p w:rsidR="0049578D" w:rsidRDefault="0049578D" w:rsidP="0049578D"/>
    <w:p w:rsidR="0049578D" w:rsidRDefault="0049578D" w:rsidP="0049578D">
      <w:pPr>
        <w:rPr>
          <w:u w:val="single"/>
        </w:rPr>
      </w:pPr>
      <w:r>
        <w:rPr>
          <w:u w:val="single"/>
        </w:rPr>
        <w:t>Compétences transversales :</w:t>
      </w:r>
    </w:p>
    <w:p w:rsidR="0049578D" w:rsidRDefault="0049578D" w:rsidP="0049578D">
      <w:pPr>
        <w:numPr>
          <w:ilvl w:val="0"/>
          <w:numId w:val="2"/>
        </w:numPr>
        <w:jc w:val="left"/>
      </w:pPr>
      <w:r>
        <w:t>Mobiliser ses connaissances.</w:t>
      </w:r>
    </w:p>
    <w:p w:rsidR="0049578D" w:rsidRDefault="0049578D" w:rsidP="0049578D">
      <w:pPr>
        <w:numPr>
          <w:ilvl w:val="0"/>
          <w:numId w:val="2"/>
        </w:numPr>
        <w:jc w:val="left"/>
      </w:pPr>
      <w:r>
        <w:t>Extraire les  informations utiles d’un document.</w:t>
      </w:r>
    </w:p>
    <w:p w:rsidR="0049578D" w:rsidRDefault="0049578D" w:rsidP="0049578D">
      <w:pPr>
        <w:pBdr>
          <w:top w:val="single" w:sz="4" w:space="1" w:color="auto"/>
          <w:left w:val="single" w:sz="4" w:space="4" w:color="auto"/>
          <w:bottom w:val="single" w:sz="4" w:space="1" w:color="auto"/>
          <w:right w:val="single" w:sz="4" w:space="4" w:color="auto"/>
        </w:pBdr>
      </w:pPr>
      <w:r>
        <w:t>Mots clés de recherche : Spectroscopie RMN du H, résonance, protons isochrones, déplacement chimique, courbe d’intégration, couplage…</w:t>
      </w:r>
    </w:p>
    <w:p w:rsidR="0049578D" w:rsidRDefault="0049578D" w:rsidP="0049578D"/>
    <w:p w:rsidR="0049578D" w:rsidRDefault="0049578D" w:rsidP="0049578D">
      <w:pPr>
        <w:pBdr>
          <w:top w:val="single" w:sz="4" w:space="1" w:color="auto"/>
          <w:left w:val="single" w:sz="4" w:space="4" w:color="auto"/>
          <w:bottom w:val="single" w:sz="4" w:space="1" w:color="auto"/>
          <w:right w:val="single" w:sz="4" w:space="4" w:color="auto"/>
        </w:pBdr>
      </w:pPr>
      <w:r>
        <w:t>Provenance : Académie de Lille</w:t>
      </w:r>
    </w:p>
    <w:p w:rsidR="0049578D" w:rsidRDefault="0049578D" w:rsidP="0049578D">
      <w:pPr>
        <w:pBdr>
          <w:top w:val="single" w:sz="4" w:space="1" w:color="auto"/>
          <w:left w:val="single" w:sz="4" w:space="4" w:color="auto"/>
          <w:bottom w:val="single" w:sz="4" w:space="1" w:color="auto"/>
          <w:right w:val="single" w:sz="4" w:space="4" w:color="auto"/>
        </w:pBdr>
      </w:pPr>
      <w:r>
        <w:t>adresse du site académique : http://www.ac-lille.fr/</w:t>
      </w:r>
    </w:p>
    <w:p w:rsidR="0049578D" w:rsidRDefault="0049578D" w:rsidP="0049578D">
      <w:pPr>
        <w:jc w:val="center"/>
        <w:rPr>
          <w:b/>
        </w:rPr>
      </w:pPr>
      <w:r>
        <w:br w:type="page"/>
      </w:r>
    </w:p>
    <w:p w:rsidR="0049578D" w:rsidRPr="00460B79" w:rsidRDefault="0049578D" w:rsidP="0049578D">
      <w:pPr>
        <w:pBdr>
          <w:top w:val="single" w:sz="4" w:space="1" w:color="auto"/>
          <w:left w:val="single" w:sz="4" w:space="4" w:color="auto"/>
          <w:bottom w:val="single" w:sz="4" w:space="1" w:color="auto"/>
          <w:right w:val="single" w:sz="4" w:space="4" w:color="auto"/>
        </w:pBdr>
        <w:jc w:val="center"/>
        <w:rPr>
          <w:b/>
          <w:caps/>
        </w:rPr>
      </w:pPr>
      <w:r w:rsidRPr="00460B79">
        <w:rPr>
          <w:b/>
          <w:caps/>
        </w:rPr>
        <w:t>Exploitation de spectres RMN</w:t>
      </w:r>
    </w:p>
    <w:p w:rsidR="0049578D" w:rsidRDefault="0049578D" w:rsidP="0049578D"/>
    <w:p w:rsidR="0049578D" w:rsidRDefault="0049578D" w:rsidP="0049578D">
      <w:pPr>
        <w:rPr>
          <w:bCs/>
        </w:rPr>
      </w:pPr>
      <w:r w:rsidRPr="007E1499">
        <w:rPr>
          <w:bCs/>
        </w:rPr>
        <w:t xml:space="preserve">C'est en 1946 que deux groupes de physiciens, l'équipe du Professeur BLOCH à Stanford et l'équipe du Professeur PURCELL à Harvard, en cherchant à mettre en évidence des </w:t>
      </w:r>
      <w:r>
        <w:rPr>
          <w:bCs/>
        </w:rPr>
        <w:t>propriétés nucléaires (</w:t>
      </w:r>
      <w:r w:rsidRPr="007E1499">
        <w:rPr>
          <w:bCs/>
        </w:rPr>
        <w:t>concept</w:t>
      </w:r>
      <w:r>
        <w:rPr>
          <w:bCs/>
        </w:rPr>
        <w:t>s</w:t>
      </w:r>
      <w:r w:rsidRPr="007E1499">
        <w:rPr>
          <w:bCs/>
        </w:rPr>
        <w:t xml:space="preserve"> purement théorique</w:t>
      </w:r>
      <w:r>
        <w:rPr>
          <w:bCs/>
        </w:rPr>
        <w:t xml:space="preserve">s à cette époque) </w:t>
      </w:r>
      <w:r w:rsidRPr="007E1499">
        <w:rPr>
          <w:bCs/>
        </w:rPr>
        <w:t>ont obtenu pour la pr</w:t>
      </w:r>
      <w:r w:rsidR="00752703">
        <w:rPr>
          <w:bCs/>
        </w:rPr>
        <w:t>emière fois des signaux R.M.N.</w:t>
      </w:r>
      <w:r w:rsidRPr="007E1499">
        <w:rPr>
          <w:bCs/>
        </w:rPr>
        <w:t xml:space="preserve"> Après le succès de cette démarche relevant de la recherche fondamentale, la Résonance Magnétique Nucléaire (R.M.N.) est née et a explosé vers de multiples applications touchant</w:t>
      </w:r>
      <w:r>
        <w:rPr>
          <w:bCs/>
        </w:rPr>
        <w:t xml:space="preserve"> la chimie et </w:t>
      </w:r>
      <w:r w:rsidRPr="007E1499">
        <w:rPr>
          <w:bCs/>
        </w:rPr>
        <w:t>le domaine médical avec l'Imagerie par Réso</w:t>
      </w:r>
      <w:r>
        <w:rPr>
          <w:bCs/>
        </w:rPr>
        <w:t>nance Magnétique (ou I.R.M.)...</w:t>
      </w:r>
    </w:p>
    <w:p w:rsidR="0049578D" w:rsidRPr="007E1499" w:rsidRDefault="0049578D" w:rsidP="0049578D">
      <w:pPr>
        <w:rPr>
          <w:bCs/>
        </w:rPr>
      </w:pPr>
      <w:r w:rsidRPr="007E1499">
        <w:rPr>
          <w:bCs/>
        </w:rPr>
        <w:t>Notez à ce propos que le qualificatif "Nucléaire" a disparu de l'intitulé pour ne pas effrayer les malades...</w:t>
      </w:r>
    </w:p>
    <w:p w:rsidR="0049578D" w:rsidRPr="007E1499" w:rsidRDefault="0049578D" w:rsidP="0049578D">
      <w:pPr>
        <w:rPr>
          <w:bCs/>
        </w:rPr>
      </w:pPr>
    </w:p>
    <w:p w:rsidR="0049578D" w:rsidRDefault="0049578D" w:rsidP="0049578D">
      <w:r>
        <w:t>Ces propriétés nucléaires n’existent que chez certains noyaux. Nous nous limiterons à ceux de l’atome d’hydrogène H. On parlera alors de R.M.N. du proton (H).</w:t>
      </w:r>
    </w:p>
    <w:p w:rsidR="0049578D" w:rsidRPr="00A03A37" w:rsidRDefault="0049578D" w:rsidP="0049578D">
      <w:r>
        <w:t>Il apparait alors, qu’une fois plongés dans un champ magnétique fort B</w:t>
      </w:r>
      <w:r>
        <w:rPr>
          <w:vertAlign w:val="subscript"/>
        </w:rPr>
        <w:t>0</w:t>
      </w:r>
      <w:r>
        <w:t xml:space="preserve">, ces noyaux sont capables d’absorber de l’énergie emmagasinée dans une onde électromagnétique (appelée aussi radio-fréquence R.F.). Cette interaction est appelée </w:t>
      </w:r>
      <w:r w:rsidRPr="009B38FF">
        <w:rPr>
          <w:b/>
          <w:caps/>
        </w:rPr>
        <w:t>résonance</w:t>
      </w:r>
      <w:r>
        <w:t xml:space="preserve"> et dépend de l’environnement précis (magnétique et chimique) du noyau dans la molécule. Le signal que va donner un proton permet ainsi de connaitre sa position dans l’édifice polyatomique. Cette technique permet la détermination de structures !</w:t>
      </w:r>
    </w:p>
    <w:p w:rsidR="0049578D" w:rsidRDefault="0049578D" w:rsidP="0049578D"/>
    <w:p w:rsidR="0049578D" w:rsidRPr="00B659AA" w:rsidRDefault="0049578D" w:rsidP="0049578D">
      <w:pPr>
        <w:rPr>
          <w:b/>
          <w:caps/>
          <w:u w:val="single"/>
        </w:rPr>
      </w:pPr>
      <w:r>
        <w:rPr>
          <w:b/>
          <w:caps/>
          <w:u w:val="single"/>
        </w:rPr>
        <w:t>protons equivalents</w:t>
      </w:r>
    </w:p>
    <w:p w:rsidR="0049578D" w:rsidRDefault="0049578D" w:rsidP="0049578D">
      <w:r w:rsidRPr="006B1BBA">
        <w:t>Deux protons d'une molécule ne conduisent pas nécessairement à deux signaux ! On observe, par exemple, un signal unique lorsque deux protons ont un environnement identique.</w:t>
      </w:r>
    </w:p>
    <w:p w:rsidR="0049578D" w:rsidRDefault="0049578D" w:rsidP="0049578D"/>
    <w:tbl>
      <w:tblPr>
        <w:tblStyle w:val="Grille"/>
        <w:tblW w:w="0" w:type="auto"/>
        <w:tblLook w:val="04A0"/>
      </w:tblPr>
      <w:tblGrid>
        <w:gridCol w:w="5778"/>
        <w:gridCol w:w="4284"/>
      </w:tblGrid>
      <w:tr w:rsidR="0049578D" w:rsidRPr="009B38FF">
        <w:tc>
          <w:tcPr>
            <w:tcW w:w="5778" w:type="dxa"/>
            <w:vAlign w:val="center"/>
          </w:tcPr>
          <w:p w:rsidR="0049578D" w:rsidRPr="009B38FF" w:rsidRDefault="0049578D" w:rsidP="005C0E00">
            <w:pPr>
              <w:jc w:val="center"/>
              <w:rPr>
                <w:sz w:val="16"/>
                <w:szCs w:val="16"/>
              </w:rPr>
            </w:pPr>
            <w:r w:rsidRPr="009B38FF">
              <w:rPr>
                <w:sz w:val="16"/>
                <w:szCs w:val="16"/>
              </w:rPr>
              <w:object w:dxaOrig="5652" w:dyaOrig="2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8pt;height:108.85pt" o:ole="">
                  <v:imagedata r:id="rId7" o:title="" gain="5" blacklevel="-13107f"/>
                </v:shape>
                <o:OLEObject Type="Embed" ProgID="PBrush" ShapeID="_x0000_i1025" DrawAspect="Content" ObjectID="_1251913734" r:id="rId8"/>
              </w:object>
            </w:r>
            <w:r w:rsidRPr="009B38FF">
              <w:rPr>
                <w:sz w:val="16"/>
                <w:szCs w:val="16"/>
              </w:rPr>
              <w:object w:dxaOrig="1848" w:dyaOrig="2472">
                <v:shape id="_x0000_i1026" type="#_x0000_t75" style="width:64.45pt;height:87.05pt" o:ole="">
                  <v:imagedata r:id="rId9" o:title="" gain="5" blacklevel="-13107f"/>
                </v:shape>
                <o:OLEObject Type="Embed" ProgID="PBrush" ShapeID="_x0000_i1026" DrawAspect="Content" ObjectID="_1251913735" r:id="rId10"/>
              </w:object>
            </w:r>
          </w:p>
        </w:tc>
        <w:tc>
          <w:tcPr>
            <w:tcW w:w="4284" w:type="dxa"/>
            <w:vAlign w:val="center"/>
          </w:tcPr>
          <w:p w:rsidR="0049578D" w:rsidRPr="009B38FF" w:rsidRDefault="0049578D" w:rsidP="005C0E00">
            <w:pPr>
              <w:rPr>
                <w:sz w:val="16"/>
                <w:szCs w:val="16"/>
              </w:rPr>
            </w:pPr>
            <w:r w:rsidRPr="009B38FF">
              <w:rPr>
                <w:sz w:val="16"/>
                <w:szCs w:val="16"/>
              </w:rPr>
              <w:t>Considérons la molécule de bromochlorométhane H</w:t>
            </w:r>
            <w:r w:rsidRPr="009B38FF">
              <w:rPr>
                <w:sz w:val="16"/>
                <w:szCs w:val="16"/>
                <w:vertAlign w:val="subscript"/>
              </w:rPr>
              <w:t>2</w:t>
            </w:r>
            <w:r w:rsidRPr="009B38FF">
              <w:rPr>
                <w:sz w:val="16"/>
                <w:szCs w:val="16"/>
              </w:rPr>
              <w:t>BrClC dont nous avons fait figurer les trois atomes Cl, C et Br dans le plan représenté grisé.</w:t>
            </w:r>
          </w:p>
          <w:p w:rsidR="0049578D" w:rsidRPr="009B38FF" w:rsidRDefault="0049578D" w:rsidP="005C0E00">
            <w:pPr>
              <w:rPr>
                <w:sz w:val="16"/>
                <w:szCs w:val="16"/>
              </w:rPr>
            </w:pPr>
            <w:r w:rsidRPr="009B38FF">
              <w:rPr>
                <w:sz w:val="16"/>
                <w:szCs w:val="16"/>
              </w:rPr>
              <w:t xml:space="preserve">Ce plan est bissecteur de l'angle formé par les deux atomes d'hydrogène et le carbone. Il en résulte que les deux atomes d'hydrogènes sont dans un environnement identique, et que la résonance de chacun est la même ; on dit qu'il y a </w:t>
            </w:r>
            <w:r w:rsidRPr="009B38FF">
              <w:rPr>
                <w:b/>
                <w:caps/>
                <w:sz w:val="16"/>
                <w:szCs w:val="16"/>
              </w:rPr>
              <w:t>isochronisme</w:t>
            </w:r>
          </w:p>
        </w:tc>
      </w:tr>
      <w:tr w:rsidR="0049578D" w:rsidRPr="009B38FF">
        <w:tc>
          <w:tcPr>
            <w:tcW w:w="5778" w:type="dxa"/>
            <w:vAlign w:val="center"/>
          </w:tcPr>
          <w:p w:rsidR="0049578D" w:rsidRPr="009B38FF" w:rsidRDefault="0049578D" w:rsidP="005C0E00">
            <w:pPr>
              <w:jc w:val="center"/>
              <w:rPr>
                <w:sz w:val="16"/>
                <w:szCs w:val="16"/>
              </w:rPr>
            </w:pPr>
            <w:r w:rsidRPr="009B38FF">
              <w:rPr>
                <w:sz w:val="16"/>
                <w:szCs w:val="16"/>
              </w:rPr>
              <w:object w:dxaOrig="5532" w:dyaOrig="2952">
                <v:shape id="_x0000_i1027" type="#_x0000_t75" style="width:216.85pt;height:115.55pt" o:ole="">
                  <v:imagedata r:id="rId11" o:title="" gain="5" blacklevel="-13107f"/>
                </v:shape>
                <o:OLEObject Type="Embed" ProgID="PBrush" ShapeID="_x0000_i1027" DrawAspect="Content" ObjectID="_1251913736" r:id="rId12"/>
              </w:object>
            </w:r>
          </w:p>
        </w:tc>
        <w:tc>
          <w:tcPr>
            <w:tcW w:w="4284" w:type="dxa"/>
            <w:vAlign w:val="center"/>
          </w:tcPr>
          <w:p w:rsidR="0049578D" w:rsidRPr="009B38FF" w:rsidRDefault="0049578D" w:rsidP="005C0E00">
            <w:pPr>
              <w:rPr>
                <w:sz w:val="16"/>
                <w:szCs w:val="16"/>
              </w:rPr>
            </w:pPr>
            <w:r w:rsidRPr="009B38FF">
              <w:rPr>
                <w:sz w:val="16"/>
                <w:szCs w:val="16"/>
              </w:rPr>
              <w:t>Mis à part le signal du TMS que l'on ne considérera plus, on peut observer ici u</w:t>
            </w:r>
            <w:r>
              <w:rPr>
                <w:sz w:val="16"/>
                <w:szCs w:val="16"/>
              </w:rPr>
              <w:t>n seul signal pour 3 protons.</w:t>
            </w:r>
          </w:p>
          <w:p w:rsidR="0049578D" w:rsidRPr="009B38FF" w:rsidRDefault="0049578D" w:rsidP="005C0E00">
            <w:pPr>
              <w:rPr>
                <w:sz w:val="16"/>
                <w:szCs w:val="16"/>
              </w:rPr>
            </w:pPr>
            <w:r w:rsidRPr="009B38FF">
              <w:rPr>
                <w:sz w:val="16"/>
                <w:szCs w:val="16"/>
              </w:rPr>
              <w:t>Une situation d'isochronisme où 3 atomes d'hydrogène perçoivent un même environnement se retrouve dans le cas de tout groupement METHYLE. Vous pouvez le voir sur ce spectre du cyanure de méthyle</w:t>
            </w:r>
            <w:r>
              <w:rPr>
                <w:sz w:val="16"/>
                <w:szCs w:val="16"/>
              </w:rPr>
              <w:t xml:space="preserve"> ou éthanenitrile</w:t>
            </w:r>
            <w:r w:rsidRPr="009B38FF">
              <w:rPr>
                <w:sz w:val="16"/>
                <w:szCs w:val="16"/>
              </w:rPr>
              <w:t>. Dans cette molécule, du fait de l'existence d'un axe de symétrie d'ordre 3, chacun des atomes perçoit de façon identique chacun des trois autres atomes. Les 3 H sont donc identiques</w:t>
            </w:r>
          </w:p>
        </w:tc>
      </w:tr>
      <w:tr w:rsidR="0049578D" w:rsidRPr="009B38FF">
        <w:tc>
          <w:tcPr>
            <w:tcW w:w="5778" w:type="dxa"/>
            <w:vAlign w:val="center"/>
          </w:tcPr>
          <w:p w:rsidR="0049578D" w:rsidRPr="009B38FF" w:rsidRDefault="0049578D" w:rsidP="005C0E00">
            <w:pPr>
              <w:jc w:val="center"/>
              <w:rPr>
                <w:sz w:val="16"/>
                <w:szCs w:val="16"/>
              </w:rPr>
            </w:pPr>
            <w:r>
              <w:object w:dxaOrig="5784" w:dyaOrig="2988">
                <v:shape id="_x0000_i1028" type="#_x0000_t75" style="width:212.65pt;height:109.65pt" o:ole="">
                  <v:imagedata r:id="rId13" o:title="" gain="5" blacklevel="-13107f"/>
                </v:shape>
                <o:OLEObject Type="Embed" ProgID="PBrush" ShapeID="_x0000_i1028" DrawAspect="Content" ObjectID="_1251913737" r:id="rId14"/>
              </w:object>
            </w:r>
          </w:p>
        </w:tc>
        <w:tc>
          <w:tcPr>
            <w:tcW w:w="4284" w:type="dxa"/>
            <w:vAlign w:val="center"/>
          </w:tcPr>
          <w:p w:rsidR="0049578D" w:rsidRPr="009B38FF" w:rsidRDefault="0049578D" w:rsidP="005C0E00">
            <w:pPr>
              <w:rPr>
                <w:sz w:val="16"/>
                <w:szCs w:val="16"/>
              </w:rPr>
            </w:pPr>
            <w:r w:rsidRPr="009B38FF">
              <w:rPr>
                <w:sz w:val="16"/>
                <w:szCs w:val="16"/>
              </w:rPr>
              <w:t>Dans le cas du chlorure d'acétyle il n'existe aucun axe de symétrie. Mais, à température ambiante, il n'y a pas de position privilégiée qui différencie un hydrogène par rapport aux deux autres. De par la libre rotation C-C, chaque proton subit statistiquement un environnement moyen identique. Cela se traduit encore par un signal unique pour les trois atomes d'hydrogène du groupement méthyle</w:t>
            </w:r>
          </w:p>
        </w:tc>
      </w:tr>
    </w:tbl>
    <w:p w:rsidR="0049578D" w:rsidRDefault="0049578D" w:rsidP="0049578D"/>
    <w:p w:rsidR="0049578D" w:rsidRDefault="0049578D" w:rsidP="0049578D"/>
    <w:p w:rsidR="0049578D" w:rsidRDefault="0049578D" w:rsidP="0049578D">
      <w:r>
        <w:t>Ainsi, o</w:t>
      </w:r>
      <w:r w:rsidRPr="006B1BBA">
        <w:t xml:space="preserve">n dira que des protons sont </w:t>
      </w:r>
      <w:r w:rsidRPr="004420BA">
        <w:rPr>
          <w:b/>
          <w:caps/>
        </w:rPr>
        <w:t>équivalents</w:t>
      </w:r>
      <w:r w:rsidRPr="006B1BBA">
        <w:t xml:space="preserve"> s’ils sont dans le même environnement </w:t>
      </w:r>
      <w:r w:rsidRPr="006C4271">
        <w:rPr>
          <w:i/>
        </w:rPr>
        <w:t>et</w:t>
      </w:r>
      <w:r w:rsidRPr="006B1BBA">
        <w:t xml:space="preserve"> chimique </w:t>
      </w:r>
      <w:r w:rsidRPr="006C4271">
        <w:rPr>
          <w:i/>
        </w:rPr>
        <w:t>et</w:t>
      </w:r>
      <w:r w:rsidRPr="006B1BBA">
        <w:t xml:space="preserve"> magnétique. Ces protons vont alors donner naissance à un signal unique en R.M.N. On les qualifier aussi d’ « </w:t>
      </w:r>
      <w:r w:rsidRPr="004420BA">
        <w:rPr>
          <w:b/>
          <w:caps/>
        </w:rPr>
        <w:t>isochrones</w:t>
      </w:r>
      <w:r w:rsidRPr="006B1BBA">
        <w:t> ».</w:t>
      </w:r>
    </w:p>
    <w:p w:rsidR="0049578D" w:rsidRDefault="0049578D" w:rsidP="0049578D">
      <w:pPr>
        <w:spacing w:after="200" w:line="276" w:lineRule="auto"/>
        <w:jc w:val="left"/>
      </w:pPr>
      <w:r>
        <w:br w:type="page"/>
      </w:r>
    </w:p>
    <w:p w:rsidR="0049578D" w:rsidRPr="006B1BBA" w:rsidRDefault="0049578D" w:rsidP="0049578D"/>
    <w:p w:rsidR="0049578D" w:rsidRPr="006B1BBA" w:rsidRDefault="0049578D" w:rsidP="0049578D"/>
    <w:p w:rsidR="0049578D" w:rsidRPr="005F0247" w:rsidRDefault="0049578D" w:rsidP="0049578D">
      <w:pPr>
        <w:rPr>
          <w:b/>
          <w:caps/>
          <w:u w:val="single"/>
        </w:rPr>
      </w:pPr>
      <w:r>
        <w:rPr>
          <w:b/>
          <w:caps/>
          <w:u w:val="single"/>
        </w:rPr>
        <w:t xml:space="preserve">Deplacement chimique, </w:t>
      </w:r>
      <w:r w:rsidRPr="005F0247">
        <w:rPr>
          <w:b/>
          <w:caps/>
          <w:u w:val="single"/>
        </w:rPr>
        <w:t>Définition</w:t>
      </w:r>
    </w:p>
    <w:p w:rsidR="0049578D" w:rsidRDefault="0049578D" w:rsidP="0049578D"/>
    <w:p w:rsidR="0049578D" w:rsidRDefault="0049578D" w:rsidP="0049578D">
      <w:r>
        <w:t xml:space="preserve">Pour définir la position du signal de résonance d’un proton ou d’un groupe de protons isochrones, on utilise le </w:t>
      </w:r>
      <w:r w:rsidRPr="00EB7CB7">
        <w:rPr>
          <w:b/>
        </w:rPr>
        <w:t>déplacement chimique</w:t>
      </w:r>
      <w:r>
        <w:t xml:space="preserve"> noté </w:t>
      </w:r>
      <w:r w:rsidRPr="00EB7CB7">
        <w:rPr>
          <w:b/>
        </w:rPr>
        <w:sym w:font="Symbol" w:char="F064"/>
      </w:r>
      <w:r w:rsidRPr="00EB7CB7">
        <w:rPr>
          <w:b/>
        </w:rPr>
        <w:t xml:space="preserve"> </w:t>
      </w:r>
      <w:r>
        <w:t>qui s’exprime en ppm (partie par million).</w:t>
      </w:r>
    </w:p>
    <w:p w:rsidR="0049578D" w:rsidRDefault="0049578D" w:rsidP="0049578D">
      <w:r>
        <w:t>Le déplacement chimique d’un proton ou d’un groupe de protons équivalents est caractéristique de son environnement. Pour la commodité des mesures, on s’est choisi une référence, le TMS, qui résonne à une valeur de 0 ppm.</w:t>
      </w:r>
    </w:p>
    <w:p w:rsidR="0049578D" w:rsidRDefault="0049578D" w:rsidP="0049578D"/>
    <w:p w:rsidR="0049578D" w:rsidRPr="005F0247" w:rsidRDefault="0049578D" w:rsidP="0049578D">
      <w:pPr>
        <w:rPr>
          <w:b/>
          <w:caps/>
          <w:u w:val="single"/>
        </w:rPr>
      </w:pPr>
      <w:r w:rsidRPr="005F0247">
        <w:rPr>
          <w:b/>
          <w:caps/>
          <w:u w:val="single"/>
        </w:rPr>
        <w:t>Tétraméthylsilane (tms), la référence</w:t>
      </w:r>
    </w:p>
    <w:p w:rsidR="0049578D" w:rsidRPr="005F0247" w:rsidRDefault="0049578D" w:rsidP="0049578D">
      <w:pPr>
        <w:rPr>
          <w:b/>
          <w:bCs/>
        </w:rPr>
      </w:pPr>
    </w:p>
    <w:p w:rsidR="0049578D" w:rsidRPr="005F0247" w:rsidRDefault="0049578D" w:rsidP="0049578D">
      <w:r w:rsidRPr="005F0247">
        <w:t>Le choix du TMS comme référence et la définition du déplacement chimique ont pour conséquence que, pour la plupart des composés organiques, la valeur du déplacement chimique est positive. Les pics correspondants aux signaux apparaissent sur une échelle graduée, par convention, de la droite vers la gauche.</w:t>
      </w: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89"/>
        <w:gridCol w:w="5031"/>
      </w:tblGrid>
      <w:tr w:rsidR="0049578D" w:rsidRPr="005F0247">
        <w:tc>
          <w:tcPr>
            <w:tcW w:w="5031" w:type="dxa"/>
            <w:vAlign w:val="center"/>
          </w:tcPr>
          <w:p w:rsidR="0049578D" w:rsidRPr="005F0247" w:rsidRDefault="0049578D" w:rsidP="005C0E00">
            <w:pPr>
              <w:rPr>
                <w:bCs/>
              </w:rPr>
            </w:pPr>
            <w:r w:rsidRPr="005F0247">
              <w:object w:dxaOrig="5556" w:dyaOrig="2160">
                <v:shape id="_x0000_i1029" type="#_x0000_t75" style="width:248.65pt;height:97.1pt" o:ole="">
                  <v:imagedata r:id="rId15" o:title="" gain="5" blacklevel="-13107f"/>
                </v:shape>
                <o:OLEObject Type="Embed" ProgID="PBrush" ShapeID="_x0000_i1029" DrawAspect="Content" ObjectID="_1251913738" r:id="rId16"/>
              </w:object>
            </w:r>
          </w:p>
        </w:tc>
        <w:tc>
          <w:tcPr>
            <w:tcW w:w="5031" w:type="dxa"/>
            <w:vAlign w:val="center"/>
          </w:tcPr>
          <w:p w:rsidR="0049578D" w:rsidRPr="005F0247" w:rsidRDefault="0049578D" w:rsidP="005C0E00">
            <w:pPr>
              <w:rPr>
                <w:bCs/>
              </w:rPr>
            </w:pPr>
            <w:r w:rsidRPr="005F0247">
              <w:rPr>
                <w:bCs/>
              </w:rPr>
              <w:t>Dans les spectres qui vous seront présentés, vous observerez la présence systématique d'un pic à 0 ppm qui correspond au signal du T.M.S. composé de référence.</w:t>
            </w:r>
          </w:p>
        </w:tc>
      </w:tr>
      <w:tr w:rsidR="0049578D" w:rsidRPr="005F0247">
        <w:tc>
          <w:tcPr>
            <w:tcW w:w="5031" w:type="dxa"/>
          </w:tcPr>
          <w:p w:rsidR="0049578D" w:rsidRPr="005F0247" w:rsidRDefault="0049578D" w:rsidP="005C0E00">
            <w:pPr>
              <w:rPr>
                <w:bCs/>
              </w:rPr>
            </w:pPr>
            <w:r w:rsidRPr="005F0247">
              <w:object w:dxaOrig="6672" w:dyaOrig="3720">
                <v:shape id="_x0000_i1030" type="#_x0000_t75" style="width:247pt;height:138.15pt" o:ole="">
                  <v:imagedata r:id="rId17" o:title="" gain="5" blacklevel="-13107f"/>
                </v:shape>
                <o:OLEObject Type="Embed" ProgID="PBrush" ShapeID="_x0000_i1030" DrawAspect="Content" ObjectID="_1251913739" r:id="rId18"/>
              </w:object>
            </w:r>
          </w:p>
        </w:tc>
        <w:tc>
          <w:tcPr>
            <w:tcW w:w="5031" w:type="dxa"/>
          </w:tcPr>
          <w:p w:rsidR="0049578D" w:rsidRPr="005F0247" w:rsidRDefault="0049578D" w:rsidP="005C0E00">
            <w:pPr>
              <w:rPr>
                <w:bCs/>
              </w:rPr>
            </w:pPr>
            <w:r w:rsidRPr="005F0247">
              <w:rPr>
                <w:bCs/>
              </w:rPr>
              <w:t>En effet, pour la détermination préc</w:t>
            </w:r>
            <w:r>
              <w:rPr>
                <w:bCs/>
              </w:rPr>
              <w:t xml:space="preserve">ise du déplacement chimique </w:t>
            </w:r>
            <w:r w:rsidRPr="005F0247">
              <w:rPr>
                <w:b/>
                <w:bCs/>
              </w:rPr>
              <w:sym w:font="Symbol" w:char="F064"/>
            </w:r>
            <w:r w:rsidRPr="005F0247">
              <w:rPr>
                <w:bCs/>
              </w:rPr>
              <w:t>, il faut nécessairement une substance de référence, que l'on ajoute à l'échantillon à analyser. C'est le T.M.S. dont le pic est à 0 ppm.</w:t>
            </w:r>
          </w:p>
          <w:p w:rsidR="0049578D" w:rsidRPr="005F0247" w:rsidRDefault="0049578D" w:rsidP="005C0E00">
            <w:pPr>
              <w:rPr>
                <w:bCs/>
              </w:rPr>
            </w:pPr>
            <w:r w:rsidRPr="005F0247">
              <w:rPr>
                <w:bCs/>
              </w:rPr>
              <w:t>Ainsi, dans le cas du spectre de l'iodoforme, de formule HCI</w:t>
            </w:r>
            <w:r w:rsidRPr="005F0247">
              <w:rPr>
                <w:bCs/>
                <w:vertAlign w:val="subscript"/>
              </w:rPr>
              <w:t>3</w:t>
            </w:r>
            <w:r w:rsidRPr="005F0247">
              <w:rPr>
                <w:bCs/>
              </w:rPr>
              <w:t>, molécule contenant un seul proton, nous voyons apparaître sur le spectre deux pics. Le premier à 0 ppm est le signal du TMS, et l'autre, vers 5,4 ppm, celui de l'unique proton de l'iodoforme.</w:t>
            </w:r>
          </w:p>
        </w:tc>
      </w:tr>
    </w:tbl>
    <w:p w:rsidR="0049578D" w:rsidRDefault="0049578D" w:rsidP="0049578D"/>
    <w:p w:rsidR="0049578D" w:rsidRPr="005F0247" w:rsidRDefault="0049578D" w:rsidP="0049578D">
      <w:pPr>
        <w:rPr>
          <w:b/>
          <w:caps/>
          <w:u w:val="single"/>
        </w:rPr>
      </w:pPr>
      <w:r w:rsidRPr="005F0247">
        <w:rPr>
          <w:b/>
          <w:caps/>
          <w:u w:val="single"/>
        </w:rPr>
        <w:t>Vocabulaire</w:t>
      </w:r>
    </w:p>
    <w:p w:rsidR="0049578D" w:rsidRDefault="0049578D" w:rsidP="0049578D">
      <w:r>
        <w:rPr>
          <w:noProof/>
        </w:rPr>
        <w:drawing>
          <wp:anchor distT="0" distB="0" distL="114300" distR="114300" simplePos="0" relativeHeight="251659264" behindDoc="0" locked="0" layoutInCell="1" allowOverlap="1">
            <wp:simplePos x="0" y="0"/>
            <wp:positionH relativeFrom="column">
              <wp:posOffset>3512185</wp:posOffset>
            </wp:positionH>
            <wp:positionV relativeFrom="paragraph">
              <wp:posOffset>47625</wp:posOffset>
            </wp:positionV>
            <wp:extent cx="3172460" cy="1168400"/>
            <wp:effectExtent l="19050" t="0" r="8890" b="0"/>
            <wp:wrapSquare wrapText="bothSides"/>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9" cstate="print">
                      <a:lum bright="-20000" contrast="40000"/>
                    </a:blip>
                    <a:srcRect/>
                    <a:stretch>
                      <a:fillRect/>
                    </a:stretch>
                  </pic:blipFill>
                  <pic:spPr bwMode="auto">
                    <a:xfrm>
                      <a:off x="0" y="0"/>
                      <a:ext cx="3172460" cy="1168400"/>
                    </a:xfrm>
                    <a:prstGeom prst="rect">
                      <a:avLst/>
                    </a:prstGeom>
                    <a:noFill/>
                    <a:ln w="9525">
                      <a:noFill/>
                      <a:miter lim="800000"/>
                      <a:headEnd/>
                      <a:tailEnd/>
                    </a:ln>
                  </pic:spPr>
                </pic:pic>
              </a:graphicData>
            </a:graphic>
          </wp:anchor>
        </w:drawing>
      </w:r>
    </w:p>
    <w:p w:rsidR="0049578D" w:rsidRDefault="0049578D" w:rsidP="0049578D">
      <w:r>
        <w:t>Tout signal résonant près du TMS sera dit « </w:t>
      </w:r>
      <w:r w:rsidRPr="002233F9">
        <w:rPr>
          <w:b/>
        </w:rPr>
        <w:t>blindé</w:t>
      </w:r>
      <w:r>
        <w:t> », tout signal s’en éloignant (en valeur positive) sera dit « </w:t>
      </w:r>
      <w:r w:rsidRPr="002233F9">
        <w:rPr>
          <w:b/>
        </w:rPr>
        <w:t>déblindé </w:t>
      </w:r>
      <w:r>
        <w:t>».</w:t>
      </w:r>
    </w:p>
    <w:p w:rsidR="0049578D" w:rsidRDefault="0049578D" w:rsidP="0049578D">
      <w:r w:rsidRPr="008B0CA5">
        <w:t>De façon générale, les valeurs courantes des déplacements chimiques des protons se situent entre 0 et 15 ppm et dépendent de l'environnement chimique.</w:t>
      </w:r>
    </w:p>
    <w:p w:rsidR="0049578D" w:rsidRDefault="0049578D" w:rsidP="0049578D"/>
    <w:p w:rsidR="0049578D" w:rsidRPr="005E04EF" w:rsidRDefault="0049578D" w:rsidP="0049578D">
      <w:pPr>
        <w:rPr>
          <w:b/>
          <w:caps/>
          <w:u w:val="single"/>
        </w:rPr>
      </w:pPr>
      <w:r w:rsidRPr="005E04EF">
        <w:rPr>
          <w:b/>
          <w:caps/>
          <w:u w:val="single"/>
        </w:rPr>
        <w:t>Valeurs de déplacement chimique</w:t>
      </w:r>
    </w:p>
    <w:p w:rsidR="0049578D" w:rsidRDefault="0049578D" w:rsidP="0049578D">
      <w:pPr>
        <w:jc w:val="center"/>
      </w:pPr>
    </w:p>
    <w:p w:rsidR="0049578D" w:rsidRDefault="0049578D" w:rsidP="0049578D">
      <w:r w:rsidRPr="00707AF7">
        <w:t>On observe que pour une fam</w:t>
      </w:r>
      <w:r>
        <w:t>ille de substances, le signal ne</w:t>
      </w:r>
      <w:r w:rsidRPr="00707AF7">
        <w:t xml:space="preserve"> sort pas à </w:t>
      </w:r>
      <w:r>
        <w:t xml:space="preserve">une </w:t>
      </w:r>
      <w:r w:rsidRPr="00707AF7">
        <w:t>valeur fixe, m</w:t>
      </w:r>
      <w:r>
        <w:t xml:space="preserve">ais dans une plage de valeurs </w:t>
      </w:r>
      <w:r w:rsidRPr="00707AF7">
        <w:t xml:space="preserve">caractéristiques des fonctions chimiques de composés organiques. On a crée alors des tables de </w:t>
      </w:r>
      <w:r>
        <w:t>déplacements chimiques (ci-dessous) qui rassemblent l</w:t>
      </w:r>
      <w:r w:rsidRPr="00707AF7">
        <w:t>es plages de résonance les plus représentatives (plage étroite ou de plusieurs ppm pour certains composés</w:t>
      </w:r>
      <w:r>
        <w:t xml:space="preserve"> organiques</w:t>
      </w:r>
      <w:r w:rsidRPr="00707AF7">
        <w:t>).</w:t>
      </w:r>
      <w:r>
        <w:t xml:space="preserve"> </w:t>
      </w:r>
    </w:p>
    <w:p w:rsidR="0049578D" w:rsidRDefault="0049578D" w:rsidP="0049578D">
      <w:r>
        <w:t>Ces tables ne sont pas à mémoriser, elles accompagnent les spectres à étudier.</w:t>
      </w:r>
    </w:p>
    <w:p w:rsidR="0049578D" w:rsidRDefault="0049578D" w:rsidP="0049578D">
      <w:pPr>
        <w:jc w:val="center"/>
      </w:pPr>
      <w:r w:rsidRPr="00287CFE">
        <w:rPr>
          <w:noProof/>
        </w:rPr>
        <w:drawing>
          <wp:inline distT="0" distB="0" distL="0" distR="0">
            <wp:extent cx="5365750" cy="2235549"/>
            <wp:effectExtent l="19050" t="0" r="6350" b="0"/>
            <wp:docPr id="2"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lum bright="-20000" contrast="40000"/>
                    </a:blip>
                    <a:srcRect/>
                    <a:stretch>
                      <a:fillRect/>
                    </a:stretch>
                  </pic:blipFill>
                  <pic:spPr bwMode="auto">
                    <a:xfrm>
                      <a:off x="0" y="0"/>
                      <a:ext cx="5365091" cy="2235275"/>
                    </a:xfrm>
                    <a:prstGeom prst="rect">
                      <a:avLst/>
                    </a:prstGeom>
                    <a:noFill/>
                    <a:ln w="9525">
                      <a:noFill/>
                      <a:miter lim="800000"/>
                      <a:headEnd/>
                      <a:tailEnd/>
                    </a:ln>
                  </pic:spPr>
                </pic:pic>
              </a:graphicData>
            </a:graphic>
          </wp:inline>
        </w:drawing>
      </w:r>
    </w:p>
    <w:p w:rsidR="0049578D" w:rsidRDefault="0049578D" w:rsidP="0049578D">
      <w:r>
        <w:t xml:space="preserve">On se rend compte alors que le signal d’un proton ou groupe de protons isochrones dont le cortège électronique est affaibli en électrons est plutôt dans la zone de déplacement chimique important : </w:t>
      </w:r>
      <w:r w:rsidRPr="00263956">
        <w:t xml:space="preserve">c(es) proton(s) est (sont) dit(s) </w:t>
      </w:r>
      <w:r>
        <w:t>dé</w:t>
      </w:r>
      <w:r w:rsidRPr="00263956">
        <w:t>blindés</w:t>
      </w:r>
      <w:r>
        <w:t>.</w:t>
      </w:r>
    </w:p>
    <w:p w:rsidR="0049578D" w:rsidRPr="00263956" w:rsidRDefault="0049578D" w:rsidP="0049578D">
      <w:r>
        <w:t xml:space="preserve">Alors </w:t>
      </w:r>
      <w:r w:rsidRPr="00263956">
        <w:t xml:space="preserve">le signal d’un proton ou groupe de protons isochrones dont le cortège électronique est </w:t>
      </w:r>
      <w:r>
        <w:t>riche</w:t>
      </w:r>
      <w:r w:rsidRPr="00263956">
        <w:t xml:space="preserve"> en électron</w:t>
      </w:r>
      <w:r>
        <w:t>s</w:t>
      </w:r>
      <w:r w:rsidRPr="00263956">
        <w:t xml:space="preserve"> est plutôt dans la zone de déplacement chimique </w:t>
      </w:r>
      <w:r>
        <w:t>faible</w:t>
      </w:r>
      <w:r w:rsidRPr="00263956">
        <w:t> : c</w:t>
      </w:r>
      <w:r>
        <w:t>(</w:t>
      </w:r>
      <w:r w:rsidRPr="00263956">
        <w:t>es</w:t>
      </w:r>
      <w:r>
        <w:t>)</w:t>
      </w:r>
      <w:r w:rsidRPr="00263956">
        <w:t xml:space="preserve"> proton</w:t>
      </w:r>
      <w:r>
        <w:t>(</w:t>
      </w:r>
      <w:r w:rsidRPr="00263956">
        <w:t>s</w:t>
      </w:r>
      <w:r>
        <w:t>)</w:t>
      </w:r>
      <w:r w:rsidRPr="00263956">
        <w:t xml:space="preserve"> </w:t>
      </w:r>
      <w:r>
        <w:t>est (</w:t>
      </w:r>
      <w:r w:rsidRPr="00263956">
        <w:t>sont</w:t>
      </w:r>
      <w:r>
        <w:t>)</w:t>
      </w:r>
      <w:r w:rsidRPr="00263956">
        <w:t xml:space="preserve"> dit</w:t>
      </w:r>
      <w:r>
        <w:t>(</w:t>
      </w:r>
      <w:r w:rsidRPr="00263956">
        <w:t>s</w:t>
      </w:r>
      <w:r>
        <w:t xml:space="preserve">) </w:t>
      </w:r>
      <w:r w:rsidRPr="00263956">
        <w:t>blindés.</w:t>
      </w:r>
    </w:p>
    <w:p w:rsidR="0049578D" w:rsidRDefault="0049578D" w:rsidP="0049578D">
      <w:r>
        <w:rPr>
          <w:noProof/>
        </w:rPr>
        <w:drawing>
          <wp:anchor distT="0" distB="0" distL="114300" distR="114300" simplePos="0" relativeHeight="251661312" behindDoc="1" locked="0" layoutInCell="1" allowOverlap="1">
            <wp:simplePos x="0" y="0"/>
            <wp:positionH relativeFrom="column">
              <wp:posOffset>5387340</wp:posOffset>
            </wp:positionH>
            <wp:positionV relativeFrom="paragraph">
              <wp:posOffset>66675</wp:posOffset>
            </wp:positionV>
            <wp:extent cx="728980" cy="560705"/>
            <wp:effectExtent l="19050" t="0" r="0" b="0"/>
            <wp:wrapTight wrapText="bothSides">
              <wp:wrapPolygon edited="0">
                <wp:start x="-564" y="0"/>
                <wp:lineTo x="-564" y="20548"/>
                <wp:lineTo x="21449" y="20548"/>
                <wp:lineTo x="21449" y="0"/>
                <wp:lineTo x="-564" y="0"/>
              </wp:wrapPolygon>
            </wp:wrapTight>
            <wp:docPr id="6"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srcRect/>
                    <a:stretch>
                      <a:fillRect/>
                    </a:stretch>
                  </pic:blipFill>
                  <pic:spPr bwMode="auto">
                    <a:xfrm>
                      <a:off x="0" y="0"/>
                      <a:ext cx="728980" cy="560705"/>
                    </a:xfrm>
                    <a:prstGeom prst="rect">
                      <a:avLst/>
                    </a:prstGeom>
                    <a:noFill/>
                    <a:ln w="9525">
                      <a:noFill/>
                      <a:miter lim="800000"/>
                      <a:headEnd/>
                      <a:tailEnd/>
                    </a:ln>
                  </pic:spPr>
                </pic:pic>
              </a:graphicData>
            </a:graphic>
          </wp:anchor>
        </w:drawing>
      </w:r>
    </w:p>
    <w:p w:rsidR="0049578D" w:rsidRPr="007B5F1F" w:rsidRDefault="0049578D" w:rsidP="0049578D">
      <w:pPr>
        <w:rPr>
          <w:b/>
          <w:caps/>
          <w:u w:val="single"/>
        </w:rPr>
      </w:pPr>
      <w:r w:rsidRPr="007B5F1F">
        <w:rPr>
          <w:b/>
          <w:caps/>
          <w:u w:val="single"/>
        </w:rPr>
        <w:t>Couplage</w:t>
      </w:r>
    </w:p>
    <w:p w:rsidR="0049578D" w:rsidRDefault="0049578D" w:rsidP="0049578D">
      <w:r>
        <w:t>Le couplage est une propriété fondamentale de la RMN. Il en résulte une interaction entre deux noyaux voisins non isochrones et une forme de signal remarquable.</w:t>
      </w:r>
    </w:p>
    <w:p w:rsidR="0049578D" w:rsidRDefault="0049578D" w:rsidP="0049578D">
      <w:r>
        <w:rPr>
          <w:noProof/>
        </w:rPr>
        <w:drawing>
          <wp:anchor distT="0" distB="0" distL="114300" distR="114300" simplePos="0" relativeHeight="251660288" behindDoc="1" locked="0" layoutInCell="1" allowOverlap="1">
            <wp:simplePos x="0" y="0"/>
            <wp:positionH relativeFrom="column">
              <wp:posOffset>101600</wp:posOffset>
            </wp:positionH>
            <wp:positionV relativeFrom="paragraph">
              <wp:posOffset>556895</wp:posOffset>
            </wp:positionV>
            <wp:extent cx="1798320" cy="2888615"/>
            <wp:effectExtent l="19050" t="0" r="0" b="0"/>
            <wp:wrapTight wrapText="bothSides">
              <wp:wrapPolygon edited="0">
                <wp:start x="-229" y="0"/>
                <wp:lineTo x="-229" y="21510"/>
                <wp:lineTo x="21508" y="21510"/>
                <wp:lineTo x="21508" y="0"/>
                <wp:lineTo x="-229" y="0"/>
              </wp:wrapPolygon>
            </wp:wrapTight>
            <wp:docPr id="5" name="Image 12" descr="C:\Mes Documents\Escaut 2001-2002\Chimie Capture Internet\cspin_fichiers\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Mes Documents\Escaut 2001-2002\Chimie Capture Internet\cspin_fichiers\0(3).gif"/>
                    <pic:cNvPicPr>
                      <a:picLocks noChangeAspect="1" noChangeArrowheads="1"/>
                    </pic:cNvPicPr>
                  </pic:nvPicPr>
                  <pic:blipFill>
                    <a:blip r:embed="rId22" r:link="rId23" cstate="print">
                      <a:lum bright="-20000" contrast="40000"/>
                    </a:blip>
                    <a:srcRect t="12135"/>
                    <a:stretch>
                      <a:fillRect/>
                    </a:stretch>
                  </pic:blipFill>
                  <pic:spPr bwMode="auto">
                    <a:xfrm>
                      <a:off x="0" y="0"/>
                      <a:ext cx="1798320" cy="2888615"/>
                    </a:xfrm>
                    <a:prstGeom prst="rect">
                      <a:avLst/>
                    </a:prstGeom>
                    <a:noFill/>
                    <a:ln w="9525">
                      <a:noFill/>
                      <a:miter lim="800000"/>
                      <a:headEnd/>
                      <a:tailEnd/>
                    </a:ln>
                  </pic:spPr>
                </pic:pic>
              </a:graphicData>
            </a:graphic>
          </wp:anchor>
        </w:drawing>
      </w:r>
      <w:r w:rsidRPr="007967AF">
        <w:t xml:space="preserve">De façon générale, le couplage d’un noyau </w:t>
      </w:r>
      <w:r>
        <w:t>H</w:t>
      </w:r>
      <w:r>
        <w:rPr>
          <w:vertAlign w:val="subscript"/>
        </w:rPr>
        <w:t>a</w:t>
      </w:r>
      <w:r>
        <w:t xml:space="preserve"> </w:t>
      </w:r>
      <w:r w:rsidRPr="007967AF">
        <w:t xml:space="preserve">avec m noyaux </w:t>
      </w:r>
      <w:r>
        <w:t>H</w:t>
      </w:r>
      <w:r>
        <w:rPr>
          <w:vertAlign w:val="subscript"/>
        </w:rPr>
        <w:t>b</w:t>
      </w:r>
      <w:r w:rsidRPr="007967AF">
        <w:t xml:space="preserve"> équivalents entraîne</w:t>
      </w:r>
      <w:r>
        <w:t xml:space="preserve"> </w:t>
      </w:r>
      <w:r w:rsidRPr="007967AF">
        <w:t>l’éclatement du signal en un « (m +1) -uplet »,</w:t>
      </w:r>
      <w:r>
        <w:t xml:space="preserve"> </w:t>
      </w:r>
      <w:r w:rsidRPr="007967AF">
        <w:t>formé de (m +1) raies espacées. Les</w:t>
      </w:r>
      <w:r>
        <w:t xml:space="preserve"> </w:t>
      </w:r>
      <w:r w:rsidRPr="007967AF">
        <w:t>intensités relatives des raies sont données par</w:t>
      </w:r>
      <w:r>
        <w:t xml:space="preserve"> </w:t>
      </w:r>
      <w:r w:rsidRPr="007967AF">
        <w:t>les « coefficients du binôme », dont il est</w:t>
      </w:r>
      <w:r>
        <w:t xml:space="preserve"> </w:t>
      </w:r>
      <w:r w:rsidRPr="007967AF">
        <w:t>possible de retrouver les valeurs à l’aide du</w:t>
      </w:r>
      <w:r>
        <w:t xml:space="preserve"> </w:t>
      </w:r>
      <w:r w:rsidRPr="007967AF">
        <w:t xml:space="preserve">« triangle </w:t>
      </w:r>
      <w:r>
        <w:t>de Pascal » représenté ci-dessous :</w:t>
      </w:r>
    </w:p>
    <w:p w:rsidR="0049578D" w:rsidRDefault="0049578D" w:rsidP="0049578D"/>
    <w:p w:rsidR="0049578D" w:rsidRPr="008E29A4" w:rsidRDefault="0049578D" w:rsidP="0049578D">
      <w:pPr>
        <w:ind w:left="1440"/>
        <w:jc w:val="center"/>
      </w:pPr>
      <w:r>
        <w:rPr>
          <w:noProof/>
        </w:rPr>
        <w:drawing>
          <wp:inline distT="0" distB="0" distL="0" distR="0">
            <wp:extent cx="2814219" cy="1946564"/>
            <wp:effectExtent l="19050" t="0" r="5181" b="0"/>
            <wp:docPr id="16" name="Image 16"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0(2)"/>
                    <pic:cNvPicPr>
                      <a:picLocks noChangeAspect="1" noChangeArrowheads="1"/>
                    </pic:cNvPicPr>
                  </pic:nvPicPr>
                  <pic:blipFill>
                    <a:blip r:embed="rId24" cstate="print">
                      <a:lum bright="-24000" contrast="54000"/>
                    </a:blip>
                    <a:srcRect/>
                    <a:stretch>
                      <a:fillRect/>
                    </a:stretch>
                  </pic:blipFill>
                  <pic:spPr bwMode="auto">
                    <a:xfrm>
                      <a:off x="0" y="0"/>
                      <a:ext cx="2818503" cy="1949527"/>
                    </a:xfrm>
                    <a:prstGeom prst="rect">
                      <a:avLst/>
                    </a:prstGeom>
                    <a:noFill/>
                    <a:ln w="9525">
                      <a:noFill/>
                      <a:miter lim="800000"/>
                      <a:headEnd/>
                      <a:tailEnd/>
                    </a:ln>
                  </pic:spPr>
                </pic:pic>
              </a:graphicData>
            </a:graphic>
          </wp:inline>
        </w:drawing>
      </w:r>
    </w:p>
    <w:p w:rsidR="0049578D" w:rsidRDefault="0049578D" w:rsidP="0049578D"/>
    <w:p w:rsidR="0049578D" w:rsidRDefault="0049578D" w:rsidP="0049578D"/>
    <w:p w:rsidR="0049578D" w:rsidRDefault="0049578D" w:rsidP="0049578D"/>
    <w:p w:rsidR="0049578D" w:rsidRDefault="0049578D" w:rsidP="0049578D"/>
    <w:p w:rsidR="0049578D" w:rsidRPr="003C3E4C" w:rsidRDefault="0049578D" w:rsidP="0049578D">
      <w:pPr>
        <w:rPr>
          <w:b/>
          <w:u w:val="single"/>
        </w:rPr>
      </w:pPr>
      <w:r w:rsidRPr="003C3E4C">
        <w:rPr>
          <w:b/>
          <w:u w:val="single"/>
        </w:rPr>
        <w:t>Application</w:t>
      </w:r>
      <w:r>
        <w:rPr>
          <w:b/>
          <w:u w:val="single"/>
        </w:rPr>
        <w:t>s</w:t>
      </w:r>
      <w:r w:rsidRPr="003C3E4C">
        <w:rPr>
          <w:b/>
          <w:u w:val="single"/>
        </w:rPr>
        <w:t xml:space="preserve"> </w:t>
      </w:r>
    </w:p>
    <w:p w:rsidR="0049578D" w:rsidRDefault="0049578D" w:rsidP="0049578D">
      <w:pPr>
        <w:jc w:val="center"/>
      </w:pPr>
      <w:r>
        <w:rPr>
          <w:noProof/>
        </w:rPr>
        <w:drawing>
          <wp:inline distT="0" distB="0" distL="0" distR="0">
            <wp:extent cx="3135088" cy="2154382"/>
            <wp:effectExtent l="19050" t="0" r="8162"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cstate="print"/>
                    <a:srcRect/>
                    <a:stretch>
                      <a:fillRect/>
                    </a:stretch>
                  </pic:blipFill>
                  <pic:spPr bwMode="auto">
                    <a:xfrm>
                      <a:off x="0" y="0"/>
                      <a:ext cx="3135088" cy="2154382"/>
                    </a:xfrm>
                    <a:prstGeom prst="rect">
                      <a:avLst/>
                    </a:prstGeom>
                    <a:noFill/>
                    <a:ln w="9525">
                      <a:noFill/>
                      <a:miter lim="800000"/>
                      <a:headEnd/>
                      <a:tailEnd/>
                    </a:ln>
                  </pic:spPr>
                </pic:pic>
              </a:graphicData>
            </a:graphic>
          </wp:inline>
        </w:drawing>
      </w:r>
      <w:r>
        <w:rPr>
          <w:noProof/>
        </w:rPr>
        <w:drawing>
          <wp:inline distT="0" distB="0" distL="0" distR="0">
            <wp:extent cx="2990852" cy="1993901"/>
            <wp:effectExtent l="1905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cstate="print"/>
                    <a:srcRect/>
                    <a:stretch>
                      <a:fillRect/>
                    </a:stretch>
                  </pic:blipFill>
                  <pic:spPr bwMode="auto">
                    <a:xfrm>
                      <a:off x="0" y="0"/>
                      <a:ext cx="2992531" cy="1995020"/>
                    </a:xfrm>
                    <a:prstGeom prst="rect">
                      <a:avLst/>
                    </a:prstGeom>
                    <a:noFill/>
                    <a:ln w="9525">
                      <a:noFill/>
                      <a:miter lim="800000"/>
                      <a:headEnd/>
                      <a:tailEnd/>
                    </a:ln>
                  </pic:spPr>
                </pic:pic>
              </a:graphicData>
            </a:graphic>
          </wp:inline>
        </w:drawing>
      </w:r>
    </w:p>
    <w:p w:rsidR="0049578D" w:rsidRDefault="0049578D" w:rsidP="0049578D">
      <w:pPr>
        <w:jc w:val="center"/>
      </w:pPr>
    </w:p>
    <w:p w:rsidR="0049578D" w:rsidRPr="002A05EB" w:rsidRDefault="0049578D" w:rsidP="0049578D"/>
    <w:p w:rsidR="0049578D" w:rsidRDefault="0049578D" w:rsidP="0049578D">
      <w:pPr>
        <w:rPr>
          <w:b/>
          <w:caps/>
          <w:u w:val="single"/>
        </w:rPr>
      </w:pPr>
      <w:r w:rsidRPr="00987AC6">
        <w:rPr>
          <w:b/>
          <w:caps/>
          <w:u w:val="single"/>
        </w:rPr>
        <w:t>Courbe d'intégration</w:t>
      </w:r>
    </w:p>
    <w:p w:rsidR="0049578D" w:rsidRPr="00ED6AD4" w:rsidRDefault="0049578D" w:rsidP="0049578D"/>
    <w:p w:rsidR="0049578D" w:rsidRPr="008E3294" w:rsidRDefault="0049578D" w:rsidP="0049578D">
      <w:pPr>
        <w:rPr>
          <w:rStyle w:val="lev"/>
        </w:rPr>
      </w:pPr>
      <w:r w:rsidRPr="008E3294">
        <w:rPr>
          <w:rStyle w:val="lev"/>
          <w:b w:val="0"/>
        </w:rPr>
        <w:t>Lorsqu'un spectre comporte plus d’un massif, il apparait que les hauteurs de ceux-ci sont liées au nombre de protons associés à chaque signal.</w:t>
      </w:r>
    </w:p>
    <w:tbl>
      <w:tblPr>
        <w:tblStyle w:val="Grille"/>
        <w:tblW w:w="10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3"/>
        <w:gridCol w:w="299"/>
        <w:gridCol w:w="458"/>
        <w:gridCol w:w="5105"/>
        <w:gridCol w:w="14"/>
        <w:gridCol w:w="270"/>
      </w:tblGrid>
      <w:tr w:rsidR="0049578D" w:rsidRPr="00ED6AD4">
        <w:tc>
          <w:tcPr>
            <w:tcW w:w="5421" w:type="dxa"/>
            <w:gridSpan w:val="3"/>
            <w:vAlign w:val="center"/>
          </w:tcPr>
          <w:p w:rsidR="0049578D" w:rsidRPr="00ED6AD4" w:rsidRDefault="0049578D" w:rsidP="005C0E00">
            <w:pPr>
              <w:rPr>
                <w:bCs/>
              </w:rPr>
            </w:pPr>
            <w:r w:rsidRPr="00ED6AD4">
              <w:rPr>
                <w:bCs/>
              </w:rPr>
              <w:t xml:space="preserve">Par exemple, dans ce spectre ci-contre  </w:t>
            </w:r>
            <w:r>
              <w:rPr>
                <w:bCs/>
              </w:rPr>
              <w:t>on constate que l'un des pics</w:t>
            </w:r>
            <w:r w:rsidRPr="00ED6AD4">
              <w:rPr>
                <w:bCs/>
              </w:rPr>
              <w:t xml:space="preserve"> a une hauteu</w:t>
            </w:r>
            <w:r>
              <w:rPr>
                <w:bCs/>
              </w:rPr>
              <w:t xml:space="preserve">r environ quatre fois plus grande que </w:t>
            </w:r>
            <w:r w:rsidRPr="00ED6AD4">
              <w:rPr>
                <w:bCs/>
              </w:rPr>
              <w:t>celle de l'autre. Ce rapport n'est pas fortuit</w:t>
            </w:r>
            <w:r>
              <w:rPr>
                <w:bCs/>
              </w:rPr>
              <w:t xml:space="preserve"> </w:t>
            </w:r>
            <w:r w:rsidRPr="00ED6AD4">
              <w:rPr>
                <w:bCs/>
              </w:rPr>
              <w:t>; en effet, le signal (en pointillé) est associé à 8 protons</w:t>
            </w:r>
            <w:r>
              <w:rPr>
                <w:bCs/>
              </w:rPr>
              <w:t xml:space="preserve"> (non représentés sur le cycle), alors que celui</w:t>
            </w:r>
            <w:r w:rsidRPr="00ED6AD4">
              <w:rPr>
                <w:bCs/>
              </w:rPr>
              <w:t xml:space="preserve"> en gras est associé à 2 protons</w:t>
            </w:r>
            <w:r>
              <w:rPr>
                <w:bCs/>
              </w:rPr>
              <w:t xml:space="preserve"> (reliés aux atomes d’azote N)</w:t>
            </w:r>
            <w:r w:rsidRPr="00ED6AD4">
              <w:rPr>
                <w:bCs/>
              </w:rPr>
              <w:t xml:space="preserve"> seulement.</w:t>
            </w:r>
          </w:p>
          <w:p w:rsidR="0049578D" w:rsidRPr="00ED6AD4" w:rsidRDefault="0049578D" w:rsidP="005C0E00">
            <w:pPr>
              <w:rPr>
                <w:rStyle w:val="lev"/>
              </w:rPr>
            </w:pPr>
            <w:r w:rsidRPr="00ED6AD4">
              <w:rPr>
                <w:bCs/>
              </w:rPr>
              <w:t>En fait, ce ne sont pas les hauteurs mais les SURFACES des pics qui sont liées au nombre de protons associés à chaque signal...</w:t>
            </w:r>
          </w:p>
        </w:tc>
        <w:tc>
          <w:tcPr>
            <w:tcW w:w="5388" w:type="dxa"/>
            <w:gridSpan w:val="3"/>
            <w:vAlign w:val="center"/>
          </w:tcPr>
          <w:p w:rsidR="0049578D" w:rsidRPr="00ED6AD4" w:rsidRDefault="0049578D" w:rsidP="005C0E00">
            <w:pPr>
              <w:jc w:val="center"/>
              <w:rPr>
                <w:rStyle w:val="lev"/>
              </w:rPr>
            </w:pPr>
            <w:r w:rsidRPr="00ED6AD4">
              <w:rPr>
                <w:rStyle w:val="lev"/>
                <w:b w:val="0"/>
                <w:noProof/>
              </w:rPr>
              <w:drawing>
                <wp:inline distT="0" distB="0" distL="0" distR="0">
                  <wp:extent cx="2914650" cy="2059504"/>
                  <wp:effectExtent l="19050" t="0" r="0" b="0"/>
                  <wp:docPr id="1"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cstate="print">
                            <a:lum bright="-20000" contrast="40000"/>
                          </a:blip>
                          <a:srcRect/>
                          <a:stretch>
                            <a:fillRect/>
                          </a:stretch>
                        </pic:blipFill>
                        <pic:spPr bwMode="auto">
                          <a:xfrm>
                            <a:off x="0" y="0"/>
                            <a:ext cx="2914650" cy="2059504"/>
                          </a:xfrm>
                          <a:prstGeom prst="rect">
                            <a:avLst/>
                          </a:prstGeom>
                          <a:noFill/>
                          <a:ln w="9525">
                            <a:noFill/>
                            <a:miter lim="800000"/>
                            <a:headEnd/>
                            <a:tailEnd/>
                          </a:ln>
                        </pic:spPr>
                      </pic:pic>
                    </a:graphicData>
                  </a:graphic>
                </wp:inline>
              </w:drawing>
            </w:r>
          </w:p>
        </w:tc>
      </w:tr>
      <w:tr w:rsidR="0049578D" w:rsidRPr="00ED6AD4">
        <w:trPr>
          <w:gridAfter w:val="1"/>
          <w:wAfter w:w="270" w:type="dxa"/>
        </w:trPr>
        <w:tc>
          <w:tcPr>
            <w:tcW w:w="4664" w:type="dxa"/>
          </w:tcPr>
          <w:p w:rsidR="0049578D" w:rsidRPr="0027483C" w:rsidRDefault="0049578D" w:rsidP="005C0E00">
            <w:pPr>
              <w:rPr>
                <w:rStyle w:val="lev"/>
              </w:rPr>
            </w:pPr>
            <w:r w:rsidRPr="0027483C">
              <w:rPr>
                <w:rStyle w:val="lev"/>
                <w:b w:val="0"/>
              </w:rPr>
              <w:t>En toute rigueur, il n'est pas légitime d'opposer les hauteurs des pics, on se doit de comparer leurs surfaces, ce qui est aisément réalisable avec un spectromètre R.M.N. sous forme d'une courbe d'intégration. Le rapport des surfaces des 2 pics vaut 4.</w:t>
            </w:r>
          </w:p>
          <w:p w:rsidR="0049578D" w:rsidRPr="0027483C" w:rsidRDefault="0049578D" w:rsidP="005C0E00">
            <w:pPr>
              <w:rPr>
                <w:rStyle w:val="lev"/>
              </w:rPr>
            </w:pPr>
            <w:r w:rsidRPr="0027483C">
              <w:rPr>
                <w:rStyle w:val="lev"/>
                <w:b w:val="0"/>
              </w:rPr>
              <w:t>Bien que les pics enregistrés soient en réalité des courbes, nous continuerons à les représenter par des traits pour la commodité et la clarté des dessins des spectres. N'oubliez pas de même que, bien qu'ils puissent être fins, les pics ont une certaine largeur à la base.</w:t>
            </w:r>
          </w:p>
          <w:p w:rsidR="0049578D" w:rsidRPr="00637C58" w:rsidRDefault="0049578D" w:rsidP="005C0E00">
            <w:pPr>
              <w:rPr>
                <w:bCs/>
              </w:rPr>
            </w:pPr>
            <w:r w:rsidRPr="00637C58">
              <w:rPr>
                <w:bCs/>
              </w:rPr>
              <w:t>Retenez que la courbe d'intégration permet de mesurer la surface de chacun des pics.</w:t>
            </w:r>
          </w:p>
          <w:p w:rsidR="0049578D" w:rsidRPr="00ED6AD4" w:rsidRDefault="0049578D" w:rsidP="005C0E00">
            <w:r w:rsidRPr="00637C58">
              <w:rPr>
                <w:bCs/>
              </w:rPr>
              <w:t>Cette surface est directement proportionnelle au nombre de protons qu'elle caractérise.</w:t>
            </w:r>
          </w:p>
        </w:tc>
        <w:tc>
          <w:tcPr>
            <w:tcW w:w="5875" w:type="dxa"/>
            <w:gridSpan w:val="4"/>
            <w:vAlign w:val="center"/>
          </w:tcPr>
          <w:p w:rsidR="0049578D" w:rsidRPr="00ED6AD4" w:rsidRDefault="0049578D" w:rsidP="005C0E00">
            <w:pPr>
              <w:ind w:firstLine="34"/>
              <w:jc w:val="center"/>
            </w:pPr>
            <w:r>
              <w:object w:dxaOrig="5448" w:dyaOrig="3120">
                <v:shape id="_x0000_i1031" type="#_x0000_t75" style="width:267.05pt;height:152.35pt" o:ole="">
                  <v:imagedata r:id="rId28" o:title="" gain="5" blacklevel="-13107f"/>
                </v:shape>
                <o:OLEObject Type="Embed" ProgID="PBrush" ShapeID="_x0000_i1031" DrawAspect="Content" ObjectID="_1251913740" r:id="rId29"/>
              </w:object>
            </w:r>
          </w:p>
        </w:tc>
      </w:tr>
      <w:tr w:rsidR="0049578D">
        <w:trPr>
          <w:gridAfter w:val="2"/>
          <w:wAfter w:w="283" w:type="dxa"/>
        </w:trPr>
        <w:tc>
          <w:tcPr>
            <w:tcW w:w="4963" w:type="dxa"/>
            <w:gridSpan w:val="2"/>
          </w:tcPr>
          <w:p w:rsidR="0049578D" w:rsidRDefault="0049578D" w:rsidP="005C0E00">
            <w:pPr>
              <w:rPr>
                <w:rStyle w:val="lev"/>
              </w:rPr>
            </w:pPr>
          </w:p>
          <w:p w:rsidR="0049578D" w:rsidRPr="00CF0A92" w:rsidRDefault="0049578D" w:rsidP="005C0E00">
            <w:pPr>
              <w:rPr>
                <w:rStyle w:val="lev"/>
              </w:rPr>
            </w:pPr>
            <w:r>
              <w:rPr>
                <w:rStyle w:val="lev"/>
                <w:u w:val="single"/>
              </w:rPr>
              <w:t>Application</w:t>
            </w:r>
          </w:p>
          <w:p w:rsidR="0049578D" w:rsidRDefault="0049578D" w:rsidP="005C0E00">
            <w:pPr>
              <w:rPr>
                <w:rStyle w:val="lev"/>
              </w:rPr>
            </w:pPr>
          </w:p>
          <w:p w:rsidR="0049578D" w:rsidRPr="00670326" w:rsidRDefault="0049578D" w:rsidP="005C0E00">
            <w:pPr>
              <w:rPr>
                <w:rStyle w:val="lev"/>
              </w:rPr>
            </w:pPr>
            <w:r w:rsidRPr="00670326">
              <w:rPr>
                <w:rStyle w:val="lev"/>
                <w:b w:val="0"/>
              </w:rPr>
              <w:t>Soit le composé présenté dans le spectre ci-contre.</w:t>
            </w:r>
          </w:p>
          <w:p w:rsidR="0049578D" w:rsidRPr="00B50E14" w:rsidRDefault="0049578D" w:rsidP="005C0E00">
            <w:pPr>
              <w:rPr>
                <w:rStyle w:val="lev"/>
              </w:rPr>
            </w:pPr>
            <w:r w:rsidRPr="00670326">
              <w:rPr>
                <w:rStyle w:val="lev"/>
                <w:b w:val="0"/>
              </w:rPr>
              <w:t>Attribuer à chaque pic le (ou les) proton(s) correspondant(s).</w:t>
            </w:r>
          </w:p>
        </w:tc>
        <w:tc>
          <w:tcPr>
            <w:tcW w:w="5563" w:type="dxa"/>
            <w:gridSpan w:val="2"/>
          </w:tcPr>
          <w:p w:rsidR="0049578D" w:rsidRDefault="0049578D" w:rsidP="005C0E00">
            <w:pPr>
              <w:jc w:val="center"/>
            </w:pPr>
            <w:r>
              <w:object w:dxaOrig="5628" w:dyaOrig="3264">
                <v:shape id="_x0000_i1032" type="#_x0000_t75" style="width:267.05pt;height:154.05pt" o:ole="">
                  <v:imagedata r:id="rId30" o:title="" gain="5" blacklevel="-13107f"/>
                </v:shape>
                <o:OLEObject Type="Embed" ProgID="PBrush" ShapeID="_x0000_i1032" DrawAspect="Content" ObjectID="_1251913741" r:id="rId31"/>
              </w:object>
            </w:r>
          </w:p>
        </w:tc>
      </w:tr>
    </w:tbl>
    <w:p w:rsidR="0049578D" w:rsidRDefault="0049578D" w:rsidP="0049578D"/>
    <w:p w:rsidR="007E629F" w:rsidRDefault="007E629F" w:rsidP="0049578D"/>
    <w:p w:rsidR="007E629F" w:rsidRDefault="007E629F" w:rsidP="0049578D"/>
    <w:p w:rsidR="001E2641" w:rsidRDefault="001E2641" w:rsidP="0049578D"/>
    <w:p w:rsidR="007E629F" w:rsidRDefault="007E629F" w:rsidP="0049578D">
      <w:r>
        <w:t>Analysez les spectres ci-dessous</w:t>
      </w:r>
    </w:p>
    <w:tbl>
      <w:tblPr>
        <w:tblStyle w:val="Grille"/>
        <w:tblW w:w="0" w:type="auto"/>
        <w:tblLook w:val="04A0"/>
      </w:tblPr>
      <w:tblGrid>
        <w:gridCol w:w="5223"/>
        <w:gridCol w:w="5223"/>
        <w:gridCol w:w="236"/>
      </w:tblGrid>
      <w:tr w:rsidR="0049578D">
        <w:tc>
          <w:tcPr>
            <w:tcW w:w="3354" w:type="dxa"/>
            <w:tcBorders>
              <w:top w:val="single" w:sz="4" w:space="0" w:color="auto"/>
              <w:left w:val="single" w:sz="4" w:space="0" w:color="auto"/>
              <w:bottom w:val="single" w:sz="4" w:space="0" w:color="auto"/>
              <w:right w:val="single" w:sz="4" w:space="0" w:color="auto"/>
            </w:tcBorders>
          </w:tcPr>
          <w:p w:rsidR="0049578D" w:rsidRDefault="0049578D" w:rsidP="005C0E00">
            <w:pPr>
              <w:rPr>
                <w:lang w:eastAsia="en-US"/>
              </w:rPr>
            </w:pPr>
            <w:r>
              <w:rPr>
                <w:lang w:eastAsia="en-US"/>
              </w:rPr>
              <w:object w:dxaOrig="7439" w:dyaOrig="5460">
                <v:shape id="_x0000_i1033" type="#_x0000_t75" style="width:185pt;height:136.45pt" o:ole="">
                  <v:imagedata r:id="rId32" o:title=""/>
                </v:shape>
                <o:OLEObject Type="Embed" ProgID="PBrush" ShapeID="_x0000_i1033" DrawAspect="Content" ObjectID="_1251913742" r:id="rId33"/>
              </w:object>
            </w:r>
          </w:p>
        </w:tc>
        <w:tc>
          <w:tcPr>
            <w:tcW w:w="3354" w:type="dxa"/>
            <w:tcBorders>
              <w:top w:val="single" w:sz="4" w:space="0" w:color="auto"/>
              <w:left w:val="single" w:sz="4" w:space="0" w:color="auto"/>
              <w:bottom w:val="single" w:sz="4" w:space="0" w:color="auto"/>
              <w:right w:val="single" w:sz="4" w:space="0" w:color="auto"/>
            </w:tcBorders>
          </w:tcPr>
          <w:p w:rsidR="0049578D" w:rsidRDefault="0049578D" w:rsidP="005C0E00">
            <w:pPr>
              <w:rPr>
                <w:lang w:eastAsia="en-US"/>
              </w:rPr>
            </w:pPr>
            <w:r>
              <w:rPr>
                <w:lang w:eastAsia="en-US"/>
              </w:rPr>
              <w:object w:dxaOrig="11065" w:dyaOrig="9157">
                <v:shape id="_x0000_i1034" type="#_x0000_t75" style="width:232.75pt;height:191.7pt" o:ole="">
                  <v:imagedata r:id="rId34" o:title=""/>
                </v:shape>
                <o:OLEObject Type="Embed" ProgID="PBrush" ShapeID="_x0000_i1034" DrawAspect="Content" ObjectID="_1251913743" r:id="rId35"/>
              </w:object>
            </w:r>
          </w:p>
        </w:tc>
        <w:tc>
          <w:tcPr>
            <w:tcW w:w="3354" w:type="dxa"/>
            <w:tcBorders>
              <w:top w:val="single" w:sz="4" w:space="0" w:color="auto"/>
              <w:left w:val="single" w:sz="4" w:space="0" w:color="auto"/>
              <w:bottom w:val="single" w:sz="4" w:space="0" w:color="auto"/>
              <w:right w:val="single" w:sz="4" w:space="0" w:color="auto"/>
            </w:tcBorders>
          </w:tcPr>
          <w:p w:rsidR="0049578D" w:rsidRDefault="0049578D" w:rsidP="005C0E00">
            <w:pPr>
              <w:rPr>
                <w:lang w:eastAsia="en-US"/>
              </w:rPr>
            </w:pPr>
          </w:p>
        </w:tc>
      </w:tr>
      <w:tr w:rsidR="0049578D">
        <w:tc>
          <w:tcPr>
            <w:tcW w:w="3354" w:type="dxa"/>
            <w:tcBorders>
              <w:top w:val="single" w:sz="4" w:space="0" w:color="auto"/>
              <w:left w:val="single" w:sz="4" w:space="0" w:color="auto"/>
              <w:bottom w:val="single" w:sz="4" w:space="0" w:color="auto"/>
              <w:right w:val="single" w:sz="4" w:space="0" w:color="auto"/>
            </w:tcBorders>
          </w:tcPr>
          <w:p w:rsidR="0049578D" w:rsidRDefault="0049578D" w:rsidP="005C0E00">
            <w:pPr>
              <w:rPr>
                <w:b/>
                <w:bCs/>
                <w:lang w:eastAsia="en-US"/>
              </w:rPr>
            </w:pPr>
            <w:r>
              <w:rPr>
                <w:b/>
                <w:bCs/>
                <w:lang w:eastAsia="en-US"/>
              </w:rPr>
              <w:t>C</w:t>
            </w:r>
            <w:r>
              <w:rPr>
                <w:b/>
                <w:bCs/>
                <w:vertAlign w:val="subscript"/>
                <w:lang w:eastAsia="en-US"/>
              </w:rPr>
              <w:t>2</w:t>
            </w:r>
            <w:r>
              <w:rPr>
                <w:b/>
                <w:bCs/>
                <w:lang w:eastAsia="en-US"/>
              </w:rPr>
              <w:t>H</w:t>
            </w:r>
            <w:r>
              <w:rPr>
                <w:b/>
                <w:bCs/>
                <w:vertAlign w:val="subscript"/>
                <w:lang w:eastAsia="en-US"/>
              </w:rPr>
              <w:t>5</w:t>
            </w:r>
            <w:r>
              <w:rPr>
                <w:b/>
                <w:bCs/>
                <w:lang w:eastAsia="en-US"/>
              </w:rPr>
              <w:t>Br</w:t>
            </w:r>
          </w:p>
          <w:p w:rsidR="0049578D" w:rsidRDefault="0049578D" w:rsidP="005C0E00">
            <w:pPr>
              <w:rPr>
                <w:lang w:eastAsia="en-US"/>
              </w:rPr>
            </w:pPr>
            <w:r>
              <w:rPr>
                <w:noProof/>
              </w:rPr>
              <w:drawing>
                <wp:inline distT="0" distB="0" distL="0" distR="0">
                  <wp:extent cx="831215" cy="249555"/>
                  <wp:effectExtent l="19050" t="0" r="6985" b="0"/>
                  <wp:docPr id="11" name="Image 16" descr="http://www.unice.fr/cdiec/cours/rmn_web/spectrotheque/spectres_formules/f_c2h5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http://www.unice.fr/cdiec/cours/rmn_web/spectrotheque/spectres_formules/f_c2h5br.jpg"/>
                          <pic:cNvPicPr>
                            <a:picLocks noChangeAspect="1" noChangeArrowheads="1"/>
                          </pic:cNvPicPr>
                        </pic:nvPicPr>
                        <pic:blipFill>
                          <a:blip r:embed="rId36" cstate="print"/>
                          <a:srcRect/>
                          <a:stretch>
                            <a:fillRect/>
                          </a:stretch>
                        </pic:blipFill>
                        <pic:spPr bwMode="auto">
                          <a:xfrm>
                            <a:off x="0" y="0"/>
                            <a:ext cx="831215" cy="249555"/>
                          </a:xfrm>
                          <a:prstGeom prst="rect">
                            <a:avLst/>
                          </a:prstGeom>
                          <a:noFill/>
                          <a:ln w="9525">
                            <a:noFill/>
                            <a:miter lim="800000"/>
                            <a:headEnd/>
                            <a:tailEnd/>
                          </a:ln>
                        </pic:spPr>
                      </pic:pic>
                    </a:graphicData>
                  </a:graphic>
                </wp:inline>
              </w:drawing>
            </w:r>
          </w:p>
          <w:p w:rsidR="0049578D" w:rsidRDefault="0049578D" w:rsidP="005C0E00">
            <w:pPr>
              <w:rPr>
                <w:lang w:eastAsia="en-US"/>
              </w:rPr>
            </w:pPr>
            <w:r>
              <w:rPr>
                <w:noProof/>
              </w:rPr>
              <w:drawing>
                <wp:inline distT="0" distB="0" distL="0" distR="0">
                  <wp:extent cx="3186430" cy="2002155"/>
                  <wp:effectExtent l="19050" t="0" r="0" b="0"/>
                  <wp:docPr id="12" name="Image 13" descr="http://www.unice.fr/cdiec/cours/rmn_web/spectrotheque/spectres_formules/c2h5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http://www.unice.fr/cdiec/cours/rmn_web/spectrotheque/spectres_formules/c2h5br.jpg"/>
                          <pic:cNvPicPr>
                            <a:picLocks noChangeAspect="1" noChangeArrowheads="1"/>
                          </pic:cNvPicPr>
                        </pic:nvPicPr>
                        <pic:blipFill>
                          <a:blip r:embed="rId37" cstate="print"/>
                          <a:srcRect/>
                          <a:stretch>
                            <a:fillRect/>
                          </a:stretch>
                        </pic:blipFill>
                        <pic:spPr bwMode="auto">
                          <a:xfrm>
                            <a:off x="0" y="0"/>
                            <a:ext cx="3186430" cy="2002155"/>
                          </a:xfrm>
                          <a:prstGeom prst="rect">
                            <a:avLst/>
                          </a:prstGeom>
                          <a:noFill/>
                          <a:ln w="9525">
                            <a:noFill/>
                            <a:miter lim="800000"/>
                            <a:headEnd/>
                            <a:tailEnd/>
                          </a:ln>
                        </pic:spPr>
                      </pic:pic>
                    </a:graphicData>
                  </a:graphic>
                </wp:inline>
              </w:drawing>
            </w:r>
          </w:p>
        </w:tc>
        <w:tc>
          <w:tcPr>
            <w:tcW w:w="3354" w:type="dxa"/>
            <w:tcBorders>
              <w:top w:val="single" w:sz="4" w:space="0" w:color="auto"/>
              <w:left w:val="single" w:sz="4" w:space="0" w:color="auto"/>
              <w:bottom w:val="single" w:sz="4" w:space="0" w:color="auto"/>
              <w:right w:val="single" w:sz="4" w:space="0" w:color="auto"/>
            </w:tcBorders>
          </w:tcPr>
          <w:p w:rsidR="0049578D" w:rsidRDefault="0049578D" w:rsidP="005C0E00">
            <w:pPr>
              <w:rPr>
                <w:b/>
                <w:bCs/>
                <w:lang w:eastAsia="en-US"/>
              </w:rPr>
            </w:pPr>
            <w:r>
              <w:rPr>
                <w:b/>
                <w:bCs/>
                <w:lang w:eastAsia="en-US"/>
              </w:rPr>
              <w:t>C</w:t>
            </w:r>
            <w:r>
              <w:rPr>
                <w:b/>
                <w:bCs/>
                <w:vertAlign w:val="subscript"/>
                <w:lang w:eastAsia="en-US"/>
              </w:rPr>
              <w:t>2</w:t>
            </w:r>
            <w:r>
              <w:rPr>
                <w:b/>
                <w:bCs/>
                <w:lang w:eastAsia="en-US"/>
              </w:rPr>
              <w:t>H</w:t>
            </w:r>
            <w:r>
              <w:rPr>
                <w:b/>
                <w:bCs/>
                <w:vertAlign w:val="subscript"/>
                <w:lang w:eastAsia="en-US"/>
              </w:rPr>
              <w:t>5</w:t>
            </w:r>
            <w:r>
              <w:rPr>
                <w:b/>
                <w:bCs/>
                <w:lang w:eastAsia="en-US"/>
              </w:rPr>
              <w:t>I</w:t>
            </w:r>
          </w:p>
          <w:p w:rsidR="0049578D" w:rsidRDefault="0049578D" w:rsidP="005C0E00">
            <w:pPr>
              <w:rPr>
                <w:lang w:eastAsia="en-US"/>
              </w:rPr>
            </w:pPr>
            <w:r>
              <w:rPr>
                <w:noProof/>
              </w:rPr>
              <w:drawing>
                <wp:inline distT="0" distB="0" distL="0" distR="0">
                  <wp:extent cx="706755" cy="249555"/>
                  <wp:effectExtent l="19050" t="0" r="0" b="0"/>
                  <wp:docPr id="13" name="Image 21" descr="http://www.unice.fr/cdiec/cours/rmn_web/spectrotheque/spectres_formules/f_c2h5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descr="http://www.unice.fr/cdiec/cours/rmn_web/spectrotheque/spectres_formules/f_c2h5i.jpg"/>
                          <pic:cNvPicPr>
                            <a:picLocks noChangeAspect="1" noChangeArrowheads="1"/>
                          </pic:cNvPicPr>
                        </pic:nvPicPr>
                        <pic:blipFill>
                          <a:blip r:embed="rId38" cstate="print"/>
                          <a:srcRect/>
                          <a:stretch>
                            <a:fillRect/>
                          </a:stretch>
                        </pic:blipFill>
                        <pic:spPr bwMode="auto">
                          <a:xfrm>
                            <a:off x="0" y="0"/>
                            <a:ext cx="706755" cy="249555"/>
                          </a:xfrm>
                          <a:prstGeom prst="rect">
                            <a:avLst/>
                          </a:prstGeom>
                          <a:noFill/>
                          <a:ln w="9525">
                            <a:noFill/>
                            <a:miter lim="800000"/>
                            <a:headEnd/>
                            <a:tailEnd/>
                          </a:ln>
                        </pic:spPr>
                      </pic:pic>
                    </a:graphicData>
                  </a:graphic>
                </wp:inline>
              </w:drawing>
            </w:r>
          </w:p>
          <w:p w:rsidR="0049578D" w:rsidRDefault="0049578D" w:rsidP="005C0E00">
            <w:pPr>
              <w:rPr>
                <w:lang w:eastAsia="en-US"/>
              </w:rPr>
            </w:pPr>
            <w:r>
              <w:rPr>
                <w:noProof/>
              </w:rPr>
              <w:drawing>
                <wp:inline distT="0" distB="0" distL="0" distR="0">
                  <wp:extent cx="3186430" cy="2002155"/>
                  <wp:effectExtent l="19050" t="0" r="0" b="0"/>
                  <wp:docPr id="14" name="Image 18" descr="http://www.unice.fr/cdiec/cours/rmn_web/spectrotheque/spectres_formules/c2h5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http://www.unice.fr/cdiec/cours/rmn_web/spectrotheque/spectres_formules/c2h5i.jpg"/>
                          <pic:cNvPicPr>
                            <a:picLocks noChangeAspect="1" noChangeArrowheads="1"/>
                          </pic:cNvPicPr>
                        </pic:nvPicPr>
                        <pic:blipFill>
                          <a:blip r:embed="rId39" cstate="print"/>
                          <a:srcRect/>
                          <a:stretch>
                            <a:fillRect/>
                          </a:stretch>
                        </pic:blipFill>
                        <pic:spPr bwMode="auto">
                          <a:xfrm>
                            <a:off x="0" y="0"/>
                            <a:ext cx="3186430" cy="2002155"/>
                          </a:xfrm>
                          <a:prstGeom prst="rect">
                            <a:avLst/>
                          </a:prstGeom>
                          <a:noFill/>
                          <a:ln w="9525">
                            <a:noFill/>
                            <a:miter lim="800000"/>
                            <a:headEnd/>
                            <a:tailEnd/>
                          </a:ln>
                        </pic:spPr>
                      </pic:pic>
                    </a:graphicData>
                  </a:graphic>
                </wp:inline>
              </w:drawing>
            </w:r>
          </w:p>
        </w:tc>
        <w:tc>
          <w:tcPr>
            <w:tcW w:w="3354" w:type="dxa"/>
            <w:tcBorders>
              <w:top w:val="single" w:sz="4" w:space="0" w:color="auto"/>
              <w:left w:val="single" w:sz="4" w:space="0" w:color="auto"/>
              <w:bottom w:val="single" w:sz="4" w:space="0" w:color="auto"/>
              <w:right w:val="single" w:sz="4" w:space="0" w:color="auto"/>
            </w:tcBorders>
          </w:tcPr>
          <w:p w:rsidR="0049578D" w:rsidRDefault="0049578D" w:rsidP="005C0E00">
            <w:pPr>
              <w:rPr>
                <w:lang w:eastAsia="en-US"/>
              </w:rPr>
            </w:pPr>
          </w:p>
        </w:tc>
      </w:tr>
      <w:tr w:rsidR="0049578D">
        <w:tc>
          <w:tcPr>
            <w:tcW w:w="3354" w:type="dxa"/>
            <w:tcBorders>
              <w:top w:val="single" w:sz="4" w:space="0" w:color="auto"/>
              <w:left w:val="single" w:sz="4" w:space="0" w:color="auto"/>
              <w:bottom w:val="single" w:sz="4" w:space="0" w:color="auto"/>
              <w:right w:val="single" w:sz="4" w:space="0" w:color="auto"/>
            </w:tcBorders>
          </w:tcPr>
          <w:p w:rsidR="0049578D" w:rsidRDefault="0049578D" w:rsidP="005C0E00">
            <w:pPr>
              <w:rPr>
                <w:b/>
                <w:bCs/>
                <w:vertAlign w:val="subscript"/>
                <w:lang w:eastAsia="en-US"/>
              </w:rPr>
            </w:pPr>
            <w:r>
              <w:rPr>
                <w:b/>
                <w:bCs/>
                <w:lang w:eastAsia="en-US"/>
              </w:rPr>
              <w:t>C</w:t>
            </w:r>
            <w:r>
              <w:rPr>
                <w:b/>
                <w:bCs/>
                <w:vertAlign w:val="subscript"/>
                <w:lang w:eastAsia="en-US"/>
              </w:rPr>
              <w:t>2</w:t>
            </w:r>
            <w:r>
              <w:rPr>
                <w:b/>
                <w:bCs/>
                <w:lang w:eastAsia="en-US"/>
              </w:rPr>
              <w:t>H</w:t>
            </w:r>
            <w:r>
              <w:rPr>
                <w:b/>
                <w:bCs/>
                <w:vertAlign w:val="subscript"/>
                <w:lang w:eastAsia="en-US"/>
              </w:rPr>
              <w:t>8</w:t>
            </w:r>
            <w:r>
              <w:rPr>
                <w:b/>
                <w:bCs/>
                <w:lang w:eastAsia="en-US"/>
              </w:rPr>
              <w:t>N</w:t>
            </w:r>
            <w:r>
              <w:rPr>
                <w:b/>
                <w:bCs/>
                <w:vertAlign w:val="subscript"/>
                <w:lang w:eastAsia="en-US"/>
              </w:rPr>
              <w:t>2</w:t>
            </w:r>
          </w:p>
          <w:p w:rsidR="0049578D" w:rsidRDefault="0049578D" w:rsidP="005C0E00">
            <w:pPr>
              <w:rPr>
                <w:lang w:eastAsia="en-US"/>
              </w:rPr>
            </w:pPr>
            <w:r>
              <w:rPr>
                <w:noProof/>
              </w:rPr>
              <w:drawing>
                <wp:inline distT="0" distB="0" distL="0" distR="0">
                  <wp:extent cx="1254125" cy="637540"/>
                  <wp:effectExtent l="19050" t="0" r="3175" b="0"/>
                  <wp:docPr id="15" name="Image 26" descr="http://www.unice.fr/cdiec/cours/rmn_web/spectrotheque/spectres_formules/f_c2h8n2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descr="http://www.unice.fr/cdiec/cours/rmn_web/spectrotheque/spectres_formules/f_c2h8n2_b.jpg"/>
                          <pic:cNvPicPr>
                            <a:picLocks noChangeAspect="1" noChangeArrowheads="1"/>
                          </pic:cNvPicPr>
                        </pic:nvPicPr>
                        <pic:blipFill>
                          <a:blip r:embed="rId40" cstate="print"/>
                          <a:srcRect/>
                          <a:stretch>
                            <a:fillRect/>
                          </a:stretch>
                        </pic:blipFill>
                        <pic:spPr bwMode="auto">
                          <a:xfrm>
                            <a:off x="0" y="0"/>
                            <a:ext cx="1254125" cy="637540"/>
                          </a:xfrm>
                          <a:prstGeom prst="rect">
                            <a:avLst/>
                          </a:prstGeom>
                          <a:noFill/>
                          <a:ln w="9525">
                            <a:noFill/>
                            <a:miter lim="800000"/>
                            <a:headEnd/>
                            <a:tailEnd/>
                          </a:ln>
                        </pic:spPr>
                      </pic:pic>
                    </a:graphicData>
                  </a:graphic>
                </wp:inline>
              </w:drawing>
            </w:r>
            <w:r>
              <w:rPr>
                <w:noProof/>
              </w:rPr>
              <w:drawing>
                <wp:inline distT="0" distB="0" distL="0" distR="0">
                  <wp:extent cx="3186430" cy="2002155"/>
                  <wp:effectExtent l="19050" t="0" r="0" b="0"/>
                  <wp:docPr id="3" name="Image 23" descr="http://www.unice.fr/cdiec/cours/rmn_web/spectrotheque/spectres_formules/c2h8n2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descr="http://www.unice.fr/cdiec/cours/rmn_web/spectrotheque/spectres_formules/c2h8n2_b.jpg"/>
                          <pic:cNvPicPr>
                            <a:picLocks noChangeAspect="1" noChangeArrowheads="1"/>
                          </pic:cNvPicPr>
                        </pic:nvPicPr>
                        <pic:blipFill>
                          <a:blip r:embed="rId41" cstate="print"/>
                          <a:srcRect/>
                          <a:stretch>
                            <a:fillRect/>
                          </a:stretch>
                        </pic:blipFill>
                        <pic:spPr bwMode="auto">
                          <a:xfrm>
                            <a:off x="0" y="0"/>
                            <a:ext cx="3186430" cy="2002155"/>
                          </a:xfrm>
                          <a:prstGeom prst="rect">
                            <a:avLst/>
                          </a:prstGeom>
                          <a:noFill/>
                          <a:ln w="9525">
                            <a:noFill/>
                            <a:miter lim="800000"/>
                            <a:headEnd/>
                            <a:tailEnd/>
                          </a:ln>
                        </pic:spPr>
                      </pic:pic>
                    </a:graphicData>
                  </a:graphic>
                </wp:inline>
              </w:drawing>
            </w:r>
          </w:p>
        </w:tc>
        <w:tc>
          <w:tcPr>
            <w:tcW w:w="3354" w:type="dxa"/>
            <w:tcBorders>
              <w:top w:val="single" w:sz="4" w:space="0" w:color="auto"/>
              <w:left w:val="single" w:sz="4" w:space="0" w:color="auto"/>
              <w:bottom w:val="single" w:sz="4" w:space="0" w:color="auto"/>
              <w:right w:val="single" w:sz="4" w:space="0" w:color="auto"/>
            </w:tcBorders>
          </w:tcPr>
          <w:p w:rsidR="0049578D" w:rsidRDefault="0049578D" w:rsidP="005C0E00">
            <w:pPr>
              <w:rPr>
                <w:lang w:eastAsia="en-US"/>
              </w:rPr>
            </w:pPr>
          </w:p>
        </w:tc>
        <w:tc>
          <w:tcPr>
            <w:tcW w:w="3354" w:type="dxa"/>
            <w:tcBorders>
              <w:top w:val="single" w:sz="4" w:space="0" w:color="auto"/>
              <w:left w:val="single" w:sz="4" w:space="0" w:color="auto"/>
              <w:bottom w:val="single" w:sz="4" w:space="0" w:color="auto"/>
              <w:right w:val="single" w:sz="4" w:space="0" w:color="auto"/>
            </w:tcBorders>
          </w:tcPr>
          <w:p w:rsidR="0049578D" w:rsidRDefault="0049578D" w:rsidP="005C0E00">
            <w:pPr>
              <w:rPr>
                <w:lang w:eastAsia="en-US"/>
              </w:rPr>
            </w:pPr>
          </w:p>
        </w:tc>
      </w:tr>
      <w:tr w:rsidR="0049578D">
        <w:tc>
          <w:tcPr>
            <w:tcW w:w="3354" w:type="dxa"/>
            <w:tcBorders>
              <w:top w:val="single" w:sz="4" w:space="0" w:color="auto"/>
              <w:left w:val="single" w:sz="4" w:space="0" w:color="auto"/>
              <w:bottom w:val="single" w:sz="4" w:space="0" w:color="auto"/>
              <w:right w:val="single" w:sz="4" w:space="0" w:color="auto"/>
            </w:tcBorders>
          </w:tcPr>
          <w:p w:rsidR="0049578D" w:rsidRDefault="0049578D" w:rsidP="005C0E00">
            <w:pPr>
              <w:rPr>
                <w:lang w:eastAsia="en-US"/>
              </w:rPr>
            </w:pPr>
          </w:p>
        </w:tc>
        <w:tc>
          <w:tcPr>
            <w:tcW w:w="3354" w:type="dxa"/>
            <w:tcBorders>
              <w:top w:val="single" w:sz="4" w:space="0" w:color="auto"/>
              <w:left w:val="single" w:sz="4" w:space="0" w:color="auto"/>
              <w:bottom w:val="single" w:sz="4" w:space="0" w:color="auto"/>
              <w:right w:val="single" w:sz="4" w:space="0" w:color="auto"/>
            </w:tcBorders>
          </w:tcPr>
          <w:p w:rsidR="0049578D" w:rsidRDefault="0049578D" w:rsidP="005C0E00">
            <w:pPr>
              <w:rPr>
                <w:lang w:eastAsia="en-US"/>
              </w:rPr>
            </w:pPr>
          </w:p>
        </w:tc>
        <w:tc>
          <w:tcPr>
            <w:tcW w:w="3354" w:type="dxa"/>
            <w:tcBorders>
              <w:top w:val="single" w:sz="4" w:space="0" w:color="auto"/>
              <w:left w:val="single" w:sz="4" w:space="0" w:color="auto"/>
              <w:bottom w:val="single" w:sz="4" w:space="0" w:color="auto"/>
              <w:right w:val="single" w:sz="4" w:space="0" w:color="auto"/>
            </w:tcBorders>
          </w:tcPr>
          <w:p w:rsidR="0049578D" w:rsidRDefault="0049578D" w:rsidP="005C0E00">
            <w:pPr>
              <w:rPr>
                <w:lang w:eastAsia="en-US"/>
              </w:rPr>
            </w:pPr>
          </w:p>
        </w:tc>
      </w:tr>
      <w:tr w:rsidR="0049578D">
        <w:tc>
          <w:tcPr>
            <w:tcW w:w="3354" w:type="dxa"/>
            <w:tcBorders>
              <w:top w:val="single" w:sz="4" w:space="0" w:color="auto"/>
              <w:left w:val="single" w:sz="4" w:space="0" w:color="auto"/>
              <w:bottom w:val="single" w:sz="4" w:space="0" w:color="auto"/>
              <w:right w:val="single" w:sz="4" w:space="0" w:color="auto"/>
            </w:tcBorders>
          </w:tcPr>
          <w:p w:rsidR="0049578D" w:rsidRDefault="0049578D" w:rsidP="005C0E00">
            <w:pPr>
              <w:rPr>
                <w:lang w:eastAsia="en-US"/>
              </w:rPr>
            </w:pPr>
          </w:p>
        </w:tc>
        <w:tc>
          <w:tcPr>
            <w:tcW w:w="3354" w:type="dxa"/>
            <w:tcBorders>
              <w:top w:val="single" w:sz="4" w:space="0" w:color="auto"/>
              <w:left w:val="single" w:sz="4" w:space="0" w:color="auto"/>
              <w:bottom w:val="single" w:sz="4" w:space="0" w:color="auto"/>
              <w:right w:val="single" w:sz="4" w:space="0" w:color="auto"/>
            </w:tcBorders>
          </w:tcPr>
          <w:p w:rsidR="0049578D" w:rsidRDefault="0049578D" w:rsidP="005C0E00">
            <w:pPr>
              <w:rPr>
                <w:lang w:eastAsia="en-US"/>
              </w:rPr>
            </w:pPr>
          </w:p>
        </w:tc>
        <w:tc>
          <w:tcPr>
            <w:tcW w:w="3354" w:type="dxa"/>
            <w:tcBorders>
              <w:top w:val="single" w:sz="4" w:space="0" w:color="auto"/>
              <w:left w:val="single" w:sz="4" w:space="0" w:color="auto"/>
              <w:bottom w:val="single" w:sz="4" w:space="0" w:color="auto"/>
              <w:right w:val="single" w:sz="4" w:space="0" w:color="auto"/>
            </w:tcBorders>
          </w:tcPr>
          <w:p w:rsidR="0049578D" w:rsidRDefault="0049578D" w:rsidP="005C0E00">
            <w:pPr>
              <w:rPr>
                <w:lang w:eastAsia="en-US"/>
              </w:rPr>
            </w:pPr>
          </w:p>
        </w:tc>
      </w:tr>
    </w:tbl>
    <w:p w:rsidR="0049578D" w:rsidRPr="00AD2E97" w:rsidRDefault="0049578D" w:rsidP="0049578D"/>
    <w:p w:rsidR="00B41B06" w:rsidRDefault="00B41B06"/>
    <w:sectPr w:rsidR="00B41B06" w:rsidSect="0049578D">
      <w:pgSz w:w="11906" w:h="16838"/>
      <w:pgMar w:top="720" w:right="720" w:bottom="720" w:left="720"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990D4F" w:rsidRDefault="00990D4F" w:rsidP="008E3294">
      <w:r>
        <w:separator/>
      </w:r>
    </w:p>
  </w:endnote>
  <w:endnote w:type="continuationSeparator" w:id="1">
    <w:p w:rsidR="00990D4F" w:rsidRDefault="00990D4F" w:rsidP="008E3294">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990D4F" w:rsidRDefault="00990D4F" w:rsidP="008E3294">
      <w:r>
        <w:separator/>
      </w:r>
    </w:p>
  </w:footnote>
  <w:footnote w:type="continuationSeparator" w:id="1">
    <w:p w:rsidR="00990D4F" w:rsidRDefault="00990D4F" w:rsidP="008E3294">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61B70255"/>
    <w:multiLevelType w:val="hybridMultilevel"/>
    <w:tmpl w:val="6452F5B4"/>
    <w:lvl w:ilvl="0" w:tplc="040C0001">
      <w:start w:val="1"/>
      <w:numFmt w:val="bullet"/>
      <w:lvlText w:val=""/>
      <w:lvlJc w:val="left"/>
      <w:pPr>
        <w:ind w:left="1425"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6D040D15"/>
    <w:multiLevelType w:val="hybridMultilevel"/>
    <w:tmpl w:val="31C6CE6E"/>
    <w:lvl w:ilvl="0" w:tplc="040C0001">
      <w:start w:val="1"/>
      <w:numFmt w:val="bullet"/>
      <w:lvlText w:val=""/>
      <w:lvlJc w:val="left"/>
      <w:pPr>
        <w:ind w:left="1425"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49578D"/>
    <w:rsid w:val="001E2641"/>
    <w:rsid w:val="0025734F"/>
    <w:rsid w:val="0027483C"/>
    <w:rsid w:val="0049578D"/>
    <w:rsid w:val="004A3387"/>
    <w:rsid w:val="005E5001"/>
    <w:rsid w:val="00670326"/>
    <w:rsid w:val="00752703"/>
    <w:rsid w:val="00757424"/>
    <w:rsid w:val="007E629F"/>
    <w:rsid w:val="008E3294"/>
    <w:rsid w:val="00990D4F"/>
    <w:rsid w:val="00B41B06"/>
    <w:rsid w:val="00BE6A1A"/>
    <w:rsid w:val="00D34483"/>
  </w:rsids>
  <m:mathPr>
    <m:mathFont m:val="Impact"/>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e"/>
    <w:qFormat/>
    <w:rsid w:val="0049578D"/>
    <w:pPr>
      <w:spacing w:after="0" w:line="240" w:lineRule="auto"/>
      <w:jc w:val="both"/>
    </w:pPr>
    <w:rPr>
      <w:rFonts w:ascii="Comic Sans MS" w:eastAsia="Times New Roman" w:hAnsi="Comic Sans MS" w:cs="Times New Roman"/>
      <w:sz w:val="20"/>
      <w:szCs w:val="20"/>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table" w:styleId="Grille">
    <w:name w:val="Table Grid"/>
    <w:basedOn w:val="TableauNormal"/>
    <w:uiPriority w:val="59"/>
    <w:rsid w:val="0049578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49578D"/>
    <w:rPr>
      <w:b/>
      <w:bCs/>
    </w:rPr>
  </w:style>
  <w:style w:type="paragraph" w:styleId="Textedebulles">
    <w:name w:val="Balloon Text"/>
    <w:basedOn w:val="Normal"/>
    <w:link w:val="TextedebullesCar"/>
    <w:uiPriority w:val="99"/>
    <w:semiHidden/>
    <w:unhideWhenUsed/>
    <w:rsid w:val="0049578D"/>
    <w:rPr>
      <w:rFonts w:ascii="Tahoma" w:hAnsi="Tahoma" w:cs="Tahoma"/>
      <w:sz w:val="16"/>
      <w:szCs w:val="16"/>
    </w:rPr>
  </w:style>
  <w:style w:type="character" w:customStyle="1" w:styleId="TextedebullesCar">
    <w:name w:val="Texte de bulles Car"/>
    <w:basedOn w:val="Policepardfaut"/>
    <w:link w:val="Textedebulles"/>
    <w:uiPriority w:val="99"/>
    <w:semiHidden/>
    <w:rsid w:val="0049578D"/>
    <w:rPr>
      <w:rFonts w:ascii="Tahoma" w:eastAsia="Times New Roman" w:hAnsi="Tahoma" w:cs="Tahoma"/>
      <w:sz w:val="16"/>
      <w:szCs w:val="16"/>
      <w:lang w:eastAsia="fr-FR"/>
    </w:rPr>
  </w:style>
  <w:style w:type="paragraph" w:styleId="En-tte">
    <w:name w:val="header"/>
    <w:basedOn w:val="Normal"/>
    <w:link w:val="En-tteCar"/>
    <w:uiPriority w:val="99"/>
    <w:semiHidden/>
    <w:unhideWhenUsed/>
    <w:rsid w:val="008E3294"/>
    <w:pPr>
      <w:tabs>
        <w:tab w:val="center" w:pos="4536"/>
        <w:tab w:val="right" w:pos="9072"/>
      </w:tabs>
    </w:pPr>
  </w:style>
  <w:style w:type="character" w:customStyle="1" w:styleId="En-tteCar">
    <w:name w:val="En-tête Car"/>
    <w:basedOn w:val="Policepardfaut"/>
    <w:link w:val="En-tte"/>
    <w:uiPriority w:val="99"/>
    <w:semiHidden/>
    <w:rsid w:val="008E3294"/>
    <w:rPr>
      <w:rFonts w:ascii="Comic Sans MS" w:eastAsia="Times New Roman" w:hAnsi="Comic Sans MS" w:cs="Times New Roman"/>
      <w:sz w:val="20"/>
      <w:szCs w:val="20"/>
      <w:lang w:eastAsia="fr-FR"/>
    </w:rPr>
  </w:style>
  <w:style w:type="paragraph" w:styleId="Pieddepage">
    <w:name w:val="footer"/>
    <w:basedOn w:val="Normal"/>
    <w:link w:val="PieddepageCar"/>
    <w:uiPriority w:val="99"/>
    <w:semiHidden/>
    <w:unhideWhenUsed/>
    <w:rsid w:val="008E3294"/>
    <w:pPr>
      <w:tabs>
        <w:tab w:val="center" w:pos="4536"/>
        <w:tab w:val="right" w:pos="9072"/>
      </w:tabs>
    </w:pPr>
  </w:style>
  <w:style w:type="character" w:customStyle="1" w:styleId="PieddepageCar">
    <w:name w:val="Pied de page Car"/>
    <w:basedOn w:val="Policepardfaut"/>
    <w:link w:val="Pieddepage"/>
    <w:uiPriority w:val="99"/>
    <w:semiHidden/>
    <w:rsid w:val="008E3294"/>
    <w:rPr>
      <w:rFonts w:ascii="Comic Sans MS" w:eastAsia="Times New Roman" w:hAnsi="Comic Sans MS" w:cs="Times New Roman"/>
      <w:sz w:val="20"/>
      <w:szCs w:val="20"/>
      <w:lang w:eastAsia="fr-FR"/>
    </w:rPr>
  </w:style>
</w:styles>
</file>

<file path=word/webSettings.xml><?xml version="1.0" encoding="utf-8"?>
<w:webSettings xmlns:r="http://schemas.openxmlformats.org/officeDocument/2006/relationships" xmlns:w="http://schemas.openxmlformats.org/wordprocessingml/2006/main">
  <w:divs>
    <w:div w:id="168921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5" Type="http://schemas.openxmlformats.org/officeDocument/2006/relationships/oleObject" Target="embeddings/oleObject10.bin"/><Relationship Id="rId31" Type="http://schemas.openxmlformats.org/officeDocument/2006/relationships/oleObject" Target="embeddings/oleObject8.bin"/><Relationship Id="rId34" Type="http://schemas.openxmlformats.org/officeDocument/2006/relationships/image" Target="media/image18.png"/><Relationship Id="rId39" Type="http://schemas.openxmlformats.org/officeDocument/2006/relationships/image" Target="media/image22.jpeg"/><Relationship Id="rId40" Type="http://schemas.openxmlformats.org/officeDocument/2006/relationships/image" Target="media/image23.jpeg"/><Relationship Id="rId7" Type="http://schemas.openxmlformats.org/officeDocument/2006/relationships/image" Target="media/image1.png"/><Relationship Id="rId36" Type="http://schemas.openxmlformats.org/officeDocument/2006/relationships/image" Target="media/image19.jpeg"/><Relationship Id="rId43" Type="http://schemas.openxmlformats.org/officeDocument/2006/relationships/theme" Target="theme/theme1.xml"/><Relationship Id="rId1" Type="http://schemas.openxmlformats.org/officeDocument/2006/relationships/numbering" Target="numbering.xml"/><Relationship Id="rId24" Type="http://schemas.openxmlformats.org/officeDocument/2006/relationships/image" Target="media/image11.png"/><Relationship Id="rId25" Type="http://schemas.openxmlformats.org/officeDocument/2006/relationships/image" Target="media/image12.png"/><Relationship Id="rId8" Type="http://schemas.openxmlformats.org/officeDocument/2006/relationships/oleObject" Target="embeddings/oleObject1.bin"/><Relationship Id="rId13" Type="http://schemas.openxmlformats.org/officeDocument/2006/relationships/image" Target="media/image4.png"/><Relationship Id="rId10" Type="http://schemas.openxmlformats.org/officeDocument/2006/relationships/oleObject" Target="embeddings/oleObject2.bin"/><Relationship Id="rId32" Type="http://schemas.openxmlformats.org/officeDocument/2006/relationships/image" Target="media/image17.png"/><Relationship Id="rId37" Type="http://schemas.openxmlformats.org/officeDocument/2006/relationships/image" Target="media/image20.jpeg"/><Relationship Id="rId12" Type="http://schemas.openxmlformats.org/officeDocument/2006/relationships/oleObject" Target="embeddings/oleObject3.bin"/><Relationship Id="rId17" Type="http://schemas.openxmlformats.org/officeDocument/2006/relationships/image" Target="media/image6.png"/><Relationship Id="rId9" Type="http://schemas.openxmlformats.org/officeDocument/2006/relationships/image" Target="media/image2.png"/><Relationship Id="rId18" Type="http://schemas.openxmlformats.org/officeDocument/2006/relationships/oleObject" Target="embeddings/oleObject6.bin"/><Relationship Id="rId3" Type="http://schemas.openxmlformats.org/officeDocument/2006/relationships/settings" Target="settings.xml"/><Relationship Id="rId27" Type="http://schemas.openxmlformats.org/officeDocument/2006/relationships/image" Target="media/image14.png"/><Relationship Id="rId14" Type="http://schemas.openxmlformats.org/officeDocument/2006/relationships/oleObject" Target="embeddings/oleObject4.bin"/><Relationship Id="rId23" Type="http://schemas.openxmlformats.org/officeDocument/2006/relationships/image" Target="file:///C:\Mes%20Documents\Escaut%202001-2002\Chimie%20Capture%20Internet\cspin_fichiers\0(3).gif" TargetMode="External"/><Relationship Id="rId4" Type="http://schemas.openxmlformats.org/officeDocument/2006/relationships/webSettings" Target="webSettings.xml"/><Relationship Id="rId28" Type="http://schemas.openxmlformats.org/officeDocument/2006/relationships/image" Target="media/image15.png"/><Relationship Id="rId26" Type="http://schemas.openxmlformats.org/officeDocument/2006/relationships/image" Target="media/image13.png"/><Relationship Id="rId30" Type="http://schemas.openxmlformats.org/officeDocument/2006/relationships/image" Target="media/image16.png"/><Relationship Id="rId11" Type="http://schemas.openxmlformats.org/officeDocument/2006/relationships/image" Target="media/image3.png"/><Relationship Id="rId42" Type="http://schemas.openxmlformats.org/officeDocument/2006/relationships/fontTable" Target="fontTable.xml"/><Relationship Id="rId29" Type="http://schemas.openxmlformats.org/officeDocument/2006/relationships/oleObject" Target="embeddings/oleObject7.bin"/><Relationship Id="rId6" Type="http://schemas.openxmlformats.org/officeDocument/2006/relationships/endnotes" Target="endnotes.xml"/><Relationship Id="rId16" Type="http://schemas.openxmlformats.org/officeDocument/2006/relationships/oleObject" Target="embeddings/oleObject5.bin"/><Relationship Id="rId33" Type="http://schemas.openxmlformats.org/officeDocument/2006/relationships/oleObject" Target="embeddings/oleObject9.bin"/><Relationship Id="rId41" Type="http://schemas.openxmlformats.org/officeDocument/2006/relationships/image" Target="media/image24.jpeg"/><Relationship Id="rId5" Type="http://schemas.openxmlformats.org/officeDocument/2006/relationships/footnotes" Target="footnotes.xml"/><Relationship Id="rId15" Type="http://schemas.openxmlformats.org/officeDocument/2006/relationships/image" Target="media/image5.png"/><Relationship Id="rId19" Type="http://schemas.openxmlformats.org/officeDocument/2006/relationships/image" Target="media/image7.png"/><Relationship Id="rId38" Type="http://schemas.openxmlformats.org/officeDocument/2006/relationships/image" Target="media/image21.jpeg"/><Relationship Id="rId20" Type="http://schemas.openxmlformats.org/officeDocument/2006/relationships/image" Target="media/image8.png"/><Relationship Id="rId22" Type="http://schemas.openxmlformats.org/officeDocument/2006/relationships/image" Target="media/image10.png"/><Relationship Id="rId21" Type="http://schemas.openxmlformats.org/officeDocument/2006/relationships/image" Target="media/image9.png"/><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1392</Words>
  <Characters>7939</Characters>
  <Application>Microsoft Word 12.0.0</Application>
  <DocSecurity>0</DocSecurity>
  <Lines>66</Lines>
  <Paragraphs>15</Paragraphs>
  <ScaleCrop>false</ScaleCrop>
  <Company>Lenovo</Company>
  <LinksUpToDate>false</LinksUpToDate>
  <CharactersWithSpaces>9749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Marie Grosliere</cp:lastModifiedBy>
  <cp:revision>2</cp:revision>
  <dcterms:created xsi:type="dcterms:W3CDTF">2011-09-20T19:02:00Z</dcterms:created>
  <dcterms:modified xsi:type="dcterms:W3CDTF">2011-09-20T19:02:00Z</dcterms:modified>
</cp:coreProperties>
</file>